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495910">
        <w:rPr>
          <w:b/>
          <w:noProof/>
          <w:sz w:val="24"/>
        </w:rPr>
        <w:t>100</w:t>
      </w:r>
      <w:r w:rsidR="004C2AEC">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DE26BF">
        <w:rPr>
          <w:b/>
          <w:i/>
          <w:noProof/>
          <w:sz w:val="28"/>
        </w:rPr>
        <w:t>21</w:t>
      </w:r>
      <w:r w:rsidR="00DE26BF">
        <w:rPr>
          <w:b/>
          <w:i/>
          <w:noProof/>
          <w:sz w:val="28"/>
        </w:rPr>
        <w:t>14490</w:t>
      </w:r>
    </w:p>
    <w:p w:rsidR="007D2032" w:rsidRDefault="00DE49CD" w:rsidP="007D2032">
      <w:pPr>
        <w:pStyle w:val="CRCoverPage"/>
        <w:outlineLvl w:val="0"/>
        <w:rPr>
          <w:b/>
          <w:noProof/>
          <w:sz w:val="24"/>
        </w:rPr>
      </w:pPr>
      <w:r>
        <w:rPr>
          <w:b/>
          <w:noProof/>
          <w:sz w:val="24"/>
        </w:rPr>
        <w:t xml:space="preserve">Electronic meeting, </w:t>
      </w:r>
      <w:r w:rsidR="00495910">
        <w:rPr>
          <w:b/>
          <w:noProof/>
          <w:sz w:val="24"/>
        </w:rPr>
        <w:t>August</w:t>
      </w:r>
      <w:r w:rsidR="001475E8">
        <w:rPr>
          <w:b/>
          <w:noProof/>
          <w:sz w:val="24"/>
        </w:rPr>
        <w:t xml:space="preserve"> </w:t>
      </w:r>
      <w:r w:rsidR="003A6C4A">
        <w:rPr>
          <w:b/>
          <w:noProof/>
          <w:sz w:val="24"/>
        </w:rPr>
        <w:t>16</w:t>
      </w:r>
      <w:r w:rsidR="000F0938">
        <w:rPr>
          <w:b/>
          <w:noProof/>
          <w:sz w:val="24"/>
        </w:rPr>
        <w:t xml:space="preserve"> </w:t>
      </w:r>
      <w:r w:rsidR="001475E8">
        <w:rPr>
          <w:b/>
          <w:noProof/>
          <w:sz w:val="24"/>
        </w:rPr>
        <w:t>–</w:t>
      </w:r>
      <w:r w:rsidR="007D2032">
        <w:rPr>
          <w:b/>
          <w:noProof/>
          <w:sz w:val="24"/>
        </w:rPr>
        <w:t xml:space="preserve"> </w:t>
      </w:r>
      <w:r w:rsidR="005C1C75">
        <w:rPr>
          <w:b/>
          <w:noProof/>
          <w:sz w:val="24"/>
        </w:rPr>
        <w:t>2</w:t>
      </w:r>
      <w:r w:rsidR="003B6D77">
        <w:rPr>
          <w:b/>
          <w:noProof/>
          <w:sz w:val="24"/>
        </w:rPr>
        <w:t>7</w:t>
      </w:r>
      <w:r w:rsidR="007D2032">
        <w:rPr>
          <w:b/>
          <w:noProof/>
          <w:sz w:val="24"/>
        </w:rPr>
        <w:fldChar w:fldCharType="begin"/>
      </w:r>
      <w:r w:rsidR="007D2032">
        <w:rPr>
          <w:b/>
          <w:noProof/>
          <w:sz w:val="24"/>
        </w:rPr>
        <w:instrText xml:space="preserve"> DOCPROPERTY  EndDate  \* MERGEFORMAT </w:instrText>
      </w:r>
      <w:r w:rsidR="007D2032">
        <w:rPr>
          <w:b/>
          <w:noProof/>
          <w:sz w:val="24"/>
        </w:rPr>
        <w:fldChar w:fldCharType="separate"/>
      </w:r>
      <w:r w:rsidR="007D2032">
        <w:rPr>
          <w:b/>
          <w:noProof/>
          <w:sz w:val="24"/>
        </w:rPr>
        <w:t>, 20</w:t>
      </w:r>
      <w:r w:rsidR="007D2032">
        <w:rPr>
          <w:b/>
          <w:noProof/>
          <w:sz w:val="24"/>
        </w:rPr>
        <w:fldChar w:fldCharType="end"/>
      </w:r>
      <w:r w:rsidR="001475E8">
        <w:rPr>
          <w:b/>
          <w:noProof/>
          <w:sz w:val="24"/>
        </w:rPr>
        <w:t>21</w:t>
      </w:r>
    </w:p>
    <w:p w:rsidR="00337A21" w:rsidRPr="00CF195E"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Huawei, Hi</w:t>
      </w:r>
      <w:r w:rsidR="00D33A45" w:rsidRPr="00086BFD">
        <w:rPr>
          <w:sz w:val="22"/>
        </w:rPr>
        <w:t>S</w:t>
      </w:r>
      <w:r w:rsidRPr="00086BFD">
        <w:rPr>
          <w:sz w:val="22"/>
        </w:rPr>
        <w:t>ilicon</w:t>
      </w:r>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bookmarkStart w:id="2" w:name="OLE_LINK20"/>
      <w:r w:rsidR="003E0710" w:rsidRPr="003E0710">
        <w:rPr>
          <w:sz w:val="22"/>
        </w:rPr>
        <w:t xml:space="preserve">On </w:t>
      </w:r>
      <w:r w:rsidR="003A6C4A">
        <w:rPr>
          <w:sz w:val="22"/>
        </w:rPr>
        <w:t>BWP switching time for Redcap UE</w:t>
      </w:r>
    </w:p>
    <w:bookmarkEnd w:id="2"/>
    <w:p w:rsidR="00911C40" w:rsidRPr="00086BFD" w:rsidRDefault="00911C40" w:rsidP="00911C40">
      <w:pPr>
        <w:ind w:left="1985" w:hanging="1985"/>
        <w:rPr>
          <w:sz w:val="22"/>
        </w:rPr>
      </w:pPr>
      <w:r w:rsidRPr="00086BFD">
        <w:rPr>
          <w:b/>
          <w:sz w:val="22"/>
        </w:rPr>
        <w:t>Agenda Item:</w:t>
      </w:r>
      <w:r w:rsidRPr="00086BFD">
        <w:rPr>
          <w:sz w:val="22"/>
        </w:rPr>
        <w:tab/>
      </w:r>
      <w:r w:rsidR="00334A6D">
        <w:rPr>
          <w:sz w:val="22"/>
        </w:rPr>
        <w:t>9.</w:t>
      </w:r>
      <w:r w:rsidR="00DE26BF">
        <w:rPr>
          <w:sz w:val="22"/>
        </w:rPr>
        <w:t>20</w:t>
      </w:r>
      <w:r w:rsidR="00334A6D">
        <w:rPr>
          <w:sz w:val="22"/>
        </w:rPr>
        <w:t>.2.5</w:t>
      </w:r>
      <w:bookmarkStart w:id="3" w:name="_GoBack"/>
      <w:bookmarkEnd w:id="3"/>
    </w:p>
    <w:p w:rsidR="00911C40" w:rsidRPr="00086BFD"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p>
    <w:bookmarkEnd w:id="0"/>
    <w:bookmarkEnd w:id="1"/>
    <w:p w:rsidR="00AD4188" w:rsidRPr="00086BFD" w:rsidRDefault="00062E8E" w:rsidP="00F23E96">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rsidR="00EE6F9E" w:rsidRDefault="00EE6F9E" w:rsidP="00EE6F9E">
      <w:pPr>
        <w:spacing w:afterLines="50" w:after="120"/>
        <w:rPr>
          <w:lang w:val="en-US"/>
        </w:rPr>
      </w:pPr>
      <w:r>
        <w:rPr>
          <w:lang w:val="en-US"/>
        </w:rPr>
        <w:t xml:space="preserve">For Redcap UE, it is already agreed </w:t>
      </w:r>
      <w:r w:rsidR="00FC40F0">
        <w:rPr>
          <w:lang w:val="en-US"/>
        </w:rPr>
        <w:t xml:space="preserve">in the latest </w:t>
      </w:r>
      <w:proofErr w:type="gramStart"/>
      <w:r w:rsidR="00FC40F0">
        <w:rPr>
          <w:lang w:val="en-US"/>
        </w:rPr>
        <w:t>WID</w:t>
      </w:r>
      <w:r w:rsidR="00060107">
        <w:rPr>
          <w:lang w:val="en-US"/>
        </w:rPr>
        <w:t>[</w:t>
      </w:r>
      <w:proofErr w:type="gramEnd"/>
      <w:r w:rsidR="00060107">
        <w:rPr>
          <w:lang w:val="en-US"/>
        </w:rPr>
        <w:t>1]</w:t>
      </w:r>
      <w:r w:rsidR="00FC40F0">
        <w:rPr>
          <w:lang w:val="en-US"/>
        </w:rPr>
        <w:t xml:space="preserve"> </w:t>
      </w:r>
      <w:r>
        <w:rPr>
          <w:lang w:val="en-US"/>
        </w:rPr>
        <w:t xml:space="preserve">that </w:t>
      </w:r>
      <w:r w:rsidRPr="00EE6F9E">
        <w:rPr>
          <w:highlight w:val="green"/>
          <w:lang w:val="en-US"/>
        </w:rPr>
        <w:t>the maximum UE RF bandwidth is 20 MHz for FR1 and 100 MHz for FR2</w:t>
      </w:r>
      <w:r>
        <w:rPr>
          <w:lang w:val="en-US"/>
        </w:rPr>
        <w:t>, while</w:t>
      </w:r>
      <w:r>
        <w:rPr>
          <w:rFonts w:hint="eastAsia"/>
          <w:lang w:val="en-US"/>
        </w:rPr>
        <w:t xml:space="preserve"> </w:t>
      </w:r>
      <w:r>
        <w:rPr>
          <w:lang w:val="en-US"/>
        </w:rPr>
        <w:t>the system channel bandwidth is still up to 100MHz for FR1 and up to 400MHz for FR2.</w:t>
      </w:r>
    </w:p>
    <w:p w:rsidR="00FF1843" w:rsidRDefault="00EE6F9E" w:rsidP="00EE6F9E">
      <w:pPr>
        <w:spacing w:afterLines="50" w:after="120"/>
        <w:rPr>
          <w:lang w:val="en-US"/>
        </w:rPr>
      </w:pPr>
      <w:r>
        <w:rPr>
          <w:rFonts w:hint="eastAsia"/>
          <w:lang w:val="en-US"/>
        </w:rPr>
        <w:t>F</w:t>
      </w:r>
      <w:r>
        <w:rPr>
          <w:lang w:val="en-US"/>
        </w:rPr>
        <w:t xml:space="preserve">rom RAN1 discussion, coexistence of Redcap UE and non-Redcap UE within </w:t>
      </w:r>
      <w:r w:rsidR="001549F1">
        <w:rPr>
          <w:lang w:val="en-US"/>
        </w:rPr>
        <w:t>the same</w:t>
      </w:r>
      <w:r>
        <w:rPr>
          <w:lang w:val="en-US"/>
        </w:rPr>
        <w:t xml:space="preserve"> cell </w:t>
      </w:r>
      <w:r w:rsidR="001549F1">
        <w:rPr>
          <w:lang w:val="en-US"/>
        </w:rPr>
        <w:t>is one of the key issues. The agreements reached in RAN1 #105 meeting are as below:</w:t>
      </w:r>
    </w:p>
    <w:tbl>
      <w:tblPr>
        <w:tblStyle w:val="af8"/>
        <w:tblW w:w="0" w:type="auto"/>
        <w:tblLook w:val="04A0" w:firstRow="1" w:lastRow="0" w:firstColumn="1" w:lastColumn="0" w:noHBand="0" w:noVBand="1"/>
      </w:tblPr>
      <w:tblGrid>
        <w:gridCol w:w="9631"/>
      </w:tblGrid>
      <w:tr w:rsidR="001549F1" w:rsidTr="001549F1">
        <w:tc>
          <w:tcPr>
            <w:tcW w:w="9631" w:type="dxa"/>
          </w:tcPr>
          <w:p w:rsidR="00C746E0" w:rsidRPr="00B94BDF" w:rsidRDefault="00C746E0" w:rsidP="00C746E0">
            <w:r w:rsidRPr="00B94BDF">
              <w:rPr>
                <w:highlight w:val="green"/>
              </w:rPr>
              <w:t>Agreements:</w:t>
            </w:r>
          </w:p>
          <w:p w:rsidR="00C746E0" w:rsidRPr="00B94BDF" w:rsidRDefault="00C746E0" w:rsidP="00C746E0">
            <w:pPr>
              <w:numPr>
                <w:ilvl w:val="0"/>
                <w:numId w:val="44"/>
              </w:numPr>
              <w:overflowPunct/>
              <w:autoSpaceDE/>
              <w:autoSpaceDN/>
              <w:adjustRightInd/>
              <w:spacing w:after="0" w:line="252" w:lineRule="auto"/>
              <w:textAlignment w:val="auto"/>
              <w:rPr>
                <w:rFonts w:eastAsia="Times New Roman"/>
                <w:lang w:eastAsia="ja-JP"/>
              </w:rPr>
            </w:pPr>
            <w:r w:rsidRPr="00B94BDF">
              <w:rPr>
                <w:rFonts w:eastAsia="Times New Roman"/>
                <w:lang w:eastAsia="ja-JP"/>
              </w:rPr>
              <w:t>Both during and after initial access, the scenario where the initial UL BWP for non-</w:t>
            </w:r>
            <w:proofErr w:type="spellStart"/>
            <w:r w:rsidRPr="00B94BDF">
              <w:rPr>
                <w:rFonts w:eastAsia="Times New Roman"/>
                <w:lang w:eastAsia="ja-JP"/>
              </w:rPr>
              <w:t>RedCap</w:t>
            </w:r>
            <w:proofErr w:type="spellEnd"/>
            <w:r w:rsidRPr="00B94BDF">
              <w:rPr>
                <w:rFonts w:eastAsia="Times New Roman"/>
                <w:lang w:eastAsia="ja-JP"/>
              </w:rPr>
              <w:t xml:space="preserve"> UEs is configured to be wider than the maximum </w:t>
            </w:r>
            <w:proofErr w:type="spellStart"/>
            <w:r w:rsidRPr="00B94BDF">
              <w:rPr>
                <w:rFonts w:eastAsia="Times New Roman"/>
                <w:lang w:eastAsia="ja-JP"/>
              </w:rPr>
              <w:t>RedCap</w:t>
            </w:r>
            <w:proofErr w:type="spellEnd"/>
            <w:r w:rsidRPr="00B94BDF">
              <w:rPr>
                <w:rFonts w:eastAsia="Times New Roman"/>
                <w:lang w:eastAsia="ja-JP"/>
              </w:rPr>
              <w:t xml:space="preserve"> UE bandwidth is allowed.</w:t>
            </w:r>
          </w:p>
          <w:p w:rsidR="00C746E0" w:rsidRPr="00B94BDF" w:rsidRDefault="00C746E0" w:rsidP="00C746E0">
            <w:pPr>
              <w:jc w:val="both"/>
            </w:pPr>
            <w:r w:rsidRPr="00B94BDF">
              <w:rPr>
                <w:highlight w:val="green"/>
              </w:rPr>
              <w:t>Agreements</w:t>
            </w:r>
            <w:r w:rsidRPr="00B94BDF">
              <w:t>: Replace the RAN1#104bis-e working assumption with the following working assumption (for option 1) and working assumption (for option 2):</w:t>
            </w:r>
          </w:p>
          <w:p w:rsidR="00C746E0" w:rsidRPr="00B94BDF" w:rsidRDefault="00C746E0" w:rsidP="00C746E0">
            <w:pPr>
              <w:numPr>
                <w:ilvl w:val="0"/>
                <w:numId w:val="44"/>
              </w:numPr>
              <w:overflowPunct/>
              <w:autoSpaceDE/>
              <w:autoSpaceDN/>
              <w:adjustRightInd/>
              <w:spacing w:after="0" w:line="252" w:lineRule="auto"/>
              <w:textAlignment w:val="auto"/>
              <w:rPr>
                <w:rFonts w:eastAsia="Times New Roman"/>
                <w:lang w:val="en-US"/>
              </w:rPr>
            </w:pPr>
            <w:r w:rsidRPr="00B94BDF">
              <w:rPr>
                <w:rFonts w:eastAsia="Times New Roman"/>
                <w:highlight w:val="darkYellow"/>
                <w:lang w:eastAsia="ja-JP"/>
              </w:rPr>
              <w:t>Working assumption</w:t>
            </w:r>
            <w:r w:rsidRPr="00B94BDF">
              <w:rPr>
                <w:rFonts w:eastAsia="Times New Roman"/>
                <w:lang w:eastAsia="ja-JP"/>
              </w:rPr>
              <w:t xml:space="preserve">: After initial access </w:t>
            </w:r>
            <w:r w:rsidRPr="00B94BDF">
              <w:rPr>
                <w:rFonts w:eastAsia="Times New Roman"/>
                <w:color w:val="FF0000"/>
                <w:u w:val="single"/>
                <w:lang w:eastAsia="ja-JP"/>
              </w:rPr>
              <w:t>(i.e., after RRC Setup, RRC Resume, or RRC Reestablishment)</w:t>
            </w:r>
            <w:r w:rsidRPr="00B94BDF">
              <w:rPr>
                <w:rFonts w:eastAsia="Times New Roman"/>
                <w:lang w:eastAsia="ja-JP"/>
              </w:rPr>
              <w:t xml:space="preserve">, for BWP#0 configuration option 1 (as in 38.331, Appendix B2), a </w:t>
            </w:r>
            <w:proofErr w:type="spellStart"/>
            <w:r w:rsidRPr="00B94BDF">
              <w:rPr>
                <w:rFonts w:eastAsia="Times New Roman"/>
                <w:lang w:eastAsia="ja-JP"/>
              </w:rPr>
              <w:t>RedCap</w:t>
            </w:r>
            <w:proofErr w:type="spellEnd"/>
            <w:r w:rsidRPr="00B94BDF">
              <w:rPr>
                <w:rFonts w:eastAsia="Times New Roman"/>
                <w:lang w:eastAsia="ja-JP"/>
              </w:rPr>
              <w:t xml:space="preserve"> UE is not expected to operate with an initial DL BWP wider than the maximum </w:t>
            </w:r>
            <w:proofErr w:type="spellStart"/>
            <w:r w:rsidRPr="00B94BDF">
              <w:rPr>
                <w:rFonts w:eastAsia="Times New Roman"/>
                <w:lang w:eastAsia="ja-JP"/>
              </w:rPr>
              <w:t>RedCap</w:t>
            </w:r>
            <w:proofErr w:type="spellEnd"/>
            <w:r w:rsidRPr="00B94BDF">
              <w:rPr>
                <w:rFonts w:eastAsia="Times New Roman"/>
                <w:lang w:eastAsia="ja-JP"/>
              </w:rPr>
              <w:t xml:space="preserve"> UE bandwidth.</w:t>
            </w:r>
          </w:p>
          <w:p w:rsidR="00C746E0" w:rsidRPr="00B94BDF" w:rsidRDefault="00C746E0" w:rsidP="00C746E0">
            <w:pPr>
              <w:numPr>
                <w:ilvl w:val="0"/>
                <w:numId w:val="44"/>
              </w:numPr>
              <w:overflowPunct/>
              <w:autoSpaceDE/>
              <w:autoSpaceDN/>
              <w:adjustRightInd/>
              <w:spacing w:after="0" w:line="252" w:lineRule="auto"/>
              <w:textAlignment w:val="auto"/>
              <w:rPr>
                <w:rFonts w:eastAsia="Times New Roman"/>
              </w:rPr>
            </w:pPr>
            <w:r w:rsidRPr="00B94BDF">
              <w:rPr>
                <w:rFonts w:eastAsia="Times New Roman"/>
                <w:highlight w:val="darkYellow"/>
                <w:lang w:eastAsia="ja-JP"/>
              </w:rPr>
              <w:t>Working assumption</w:t>
            </w:r>
            <w:r w:rsidRPr="00B94BDF">
              <w:rPr>
                <w:rFonts w:eastAsia="Times New Roman"/>
                <w:lang w:eastAsia="ja-JP"/>
              </w:rPr>
              <w:t>: After initial access (</w:t>
            </w:r>
            <w:r w:rsidRPr="00B94BDF">
              <w:rPr>
                <w:rFonts w:eastAsia="Times New Roman"/>
                <w:color w:val="FF0000"/>
                <w:u w:val="single"/>
                <w:lang w:eastAsia="ja-JP"/>
              </w:rPr>
              <w:t>i.e., after RRC Setup, RRC Resume, or RRC Reestablishment</w:t>
            </w:r>
            <w:r w:rsidRPr="00B94BDF">
              <w:rPr>
                <w:rFonts w:eastAsia="Times New Roman"/>
                <w:lang w:eastAsia="ja-JP"/>
              </w:rPr>
              <w:t xml:space="preserve">), for BWP#0 configuration option 2 (as in 38.331, Appendix B2), a </w:t>
            </w:r>
            <w:proofErr w:type="spellStart"/>
            <w:r w:rsidRPr="00B94BDF">
              <w:rPr>
                <w:rFonts w:eastAsia="Times New Roman"/>
                <w:lang w:eastAsia="ja-JP"/>
              </w:rPr>
              <w:t>RedCap</w:t>
            </w:r>
            <w:proofErr w:type="spellEnd"/>
            <w:r w:rsidRPr="00B94BDF">
              <w:rPr>
                <w:rFonts w:eastAsia="Times New Roman"/>
                <w:lang w:eastAsia="ja-JP"/>
              </w:rPr>
              <w:t xml:space="preserve"> UE is not expected to operate with an initial DL BWP wider than the maximum </w:t>
            </w:r>
            <w:proofErr w:type="spellStart"/>
            <w:r w:rsidRPr="00B94BDF">
              <w:rPr>
                <w:rFonts w:eastAsia="Times New Roman"/>
                <w:lang w:eastAsia="ja-JP"/>
              </w:rPr>
              <w:t>RedCap</w:t>
            </w:r>
            <w:proofErr w:type="spellEnd"/>
            <w:r w:rsidRPr="00B94BDF">
              <w:rPr>
                <w:rFonts w:eastAsia="Times New Roman"/>
                <w:lang w:eastAsia="ja-JP"/>
              </w:rPr>
              <w:t xml:space="preserve"> UE bandwidth.</w:t>
            </w:r>
          </w:p>
          <w:p w:rsidR="001549F1" w:rsidRDefault="001549F1" w:rsidP="00EE6F9E">
            <w:pPr>
              <w:spacing w:afterLines="50" w:after="120"/>
              <w:rPr>
                <w:lang w:val="en-US"/>
              </w:rPr>
            </w:pPr>
          </w:p>
          <w:p w:rsidR="00C746E0" w:rsidRPr="00B94BDF" w:rsidRDefault="00C746E0" w:rsidP="00C746E0">
            <w:r w:rsidRPr="00B94BDF">
              <w:rPr>
                <w:highlight w:val="green"/>
              </w:rPr>
              <w:t>Agreement</w:t>
            </w:r>
            <w:r w:rsidRPr="00B94BDF">
              <w:t>:</w:t>
            </w:r>
            <w:r>
              <w:t xml:space="preserve"> </w:t>
            </w:r>
            <w:r w:rsidRPr="00B94BDF">
              <w:t>Take the following as an agreement, revised from the RAN1#104bis-e working assumption:</w:t>
            </w:r>
          </w:p>
          <w:p w:rsidR="00C746E0" w:rsidRPr="00B94BDF" w:rsidRDefault="00C746E0" w:rsidP="00C746E0">
            <w:pPr>
              <w:numPr>
                <w:ilvl w:val="0"/>
                <w:numId w:val="44"/>
              </w:numPr>
              <w:overflowPunct/>
              <w:autoSpaceDE/>
              <w:autoSpaceDN/>
              <w:adjustRightInd/>
              <w:spacing w:after="0" w:line="252" w:lineRule="auto"/>
              <w:textAlignment w:val="auto"/>
              <w:rPr>
                <w:rFonts w:eastAsia="Times New Roman"/>
                <w:lang w:val="en-US" w:eastAsia="ja-JP"/>
              </w:rPr>
            </w:pPr>
            <w:r w:rsidRPr="00B94BDF">
              <w:rPr>
                <w:rFonts w:eastAsia="Times New Roman"/>
                <w:lang w:eastAsia="ja-JP"/>
              </w:rPr>
              <w:t xml:space="preserve">A </w:t>
            </w:r>
            <w:proofErr w:type="spellStart"/>
            <w:r w:rsidRPr="00B94BDF">
              <w:rPr>
                <w:rFonts w:eastAsia="Times New Roman"/>
                <w:lang w:eastAsia="ja-JP"/>
              </w:rPr>
              <w:t>RedCap</w:t>
            </w:r>
            <w:proofErr w:type="spellEnd"/>
            <w:r w:rsidRPr="00B94BDF">
              <w:rPr>
                <w:rFonts w:eastAsia="Times New Roman"/>
                <w:lang w:eastAsia="ja-JP"/>
              </w:rPr>
              <w:t xml:space="preserve"> UE cannot be configured with a non-initial (DL or UL) BWP (i.e., a BWP with a non-zero index) wider than the maximum bandwidth of the </w:t>
            </w:r>
            <w:proofErr w:type="spellStart"/>
            <w:r w:rsidRPr="00B94BDF">
              <w:rPr>
                <w:rFonts w:eastAsia="Times New Roman"/>
                <w:lang w:eastAsia="ja-JP"/>
              </w:rPr>
              <w:t>RedCap</w:t>
            </w:r>
            <w:proofErr w:type="spellEnd"/>
            <w:r w:rsidRPr="00B94BDF">
              <w:rPr>
                <w:rFonts w:eastAsia="Times New Roman"/>
                <w:lang w:eastAsia="ja-JP"/>
              </w:rPr>
              <w:t xml:space="preserve"> UE.</w:t>
            </w:r>
          </w:p>
          <w:p w:rsidR="00C746E0" w:rsidRPr="00B94BDF" w:rsidRDefault="00C746E0" w:rsidP="00C746E0">
            <w:r w:rsidRPr="00B94BDF">
              <w:rPr>
                <w:highlight w:val="darkYellow"/>
              </w:rPr>
              <w:t>Working assumption</w:t>
            </w:r>
            <w:r w:rsidRPr="0082783B">
              <w:t xml:space="preserve">: </w:t>
            </w:r>
            <w:r w:rsidRPr="00B94BDF">
              <w:t>Both during and after initial access, even for the scenario where the initial UL BWP for non-</w:t>
            </w:r>
            <w:proofErr w:type="spellStart"/>
            <w:r w:rsidRPr="00B94BDF">
              <w:t>RedCap</w:t>
            </w:r>
            <w:proofErr w:type="spellEnd"/>
            <w:r w:rsidRPr="00B94BDF">
              <w:t xml:space="preserve"> UEs is not configured to be wider than the </w:t>
            </w:r>
            <w:proofErr w:type="spellStart"/>
            <w:r w:rsidRPr="00B94BDF">
              <w:t>RedCap</w:t>
            </w:r>
            <w:proofErr w:type="spellEnd"/>
            <w:r w:rsidRPr="00B94BDF">
              <w:t xml:space="preserve"> UE bandwidth, a separate initial UL BWP can optionally be configured/defined for </w:t>
            </w:r>
            <w:proofErr w:type="spellStart"/>
            <w:r w:rsidRPr="00B94BDF">
              <w:t>RedCap</w:t>
            </w:r>
            <w:proofErr w:type="spellEnd"/>
            <w:r w:rsidRPr="00B94BDF">
              <w:t xml:space="preserve"> UEs.</w:t>
            </w:r>
          </w:p>
          <w:p w:rsidR="00C746E0" w:rsidRPr="00B94BDF" w:rsidRDefault="00C746E0" w:rsidP="00C746E0">
            <w:pPr>
              <w:numPr>
                <w:ilvl w:val="0"/>
                <w:numId w:val="45"/>
              </w:numPr>
              <w:overflowPunct/>
              <w:autoSpaceDE/>
              <w:autoSpaceDN/>
              <w:adjustRightInd/>
              <w:spacing w:after="0"/>
              <w:textAlignment w:val="auto"/>
            </w:pPr>
            <w:r w:rsidRPr="00B94BDF">
              <w:t xml:space="preserve">RO sharing between </w:t>
            </w:r>
            <w:proofErr w:type="spellStart"/>
            <w:r w:rsidRPr="00B94BDF">
              <w:t>RedCap</w:t>
            </w:r>
            <w:proofErr w:type="spellEnd"/>
            <w:r w:rsidRPr="00B94BDF">
              <w:t xml:space="preserve"> and non-</w:t>
            </w:r>
            <w:proofErr w:type="spellStart"/>
            <w:r w:rsidRPr="00B94BDF">
              <w:t>RedCap</w:t>
            </w:r>
            <w:proofErr w:type="spellEnd"/>
            <w:r w:rsidRPr="00B94BDF">
              <w:t xml:space="preserve"> is not precluded.</w:t>
            </w:r>
          </w:p>
          <w:p w:rsidR="00C746E0" w:rsidRDefault="00C746E0" w:rsidP="00EE6F9E">
            <w:pPr>
              <w:spacing w:afterLines="50" w:after="120"/>
            </w:pPr>
          </w:p>
          <w:p w:rsidR="00C746E0" w:rsidRPr="00C746E0" w:rsidRDefault="00C746E0" w:rsidP="00C746E0">
            <w:r w:rsidRPr="00434DAE">
              <w:rPr>
                <w:highlight w:val="darkYellow"/>
              </w:rPr>
              <w:t>Working assumption</w:t>
            </w:r>
            <w:r w:rsidRPr="00C746E0">
              <w:rPr>
                <w:highlight w:val="darkYellow"/>
              </w:rPr>
              <w:t xml:space="preserve">: </w:t>
            </w:r>
            <w:r w:rsidRPr="00C746E0">
              <w:t xml:space="preserve">At least for TDD, an initial DL BWP for </w:t>
            </w:r>
            <w:proofErr w:type="spellStart"/>
            <w:r w:rsidRPr="00C746E0">
              <w:t>RedCap</w:t>
            </w:r>
            <w:proofErr w:type="spellEnd"/>
            <w:r w:rsidRPr="00C746E0">
              <w:t xml:space="preserve"> UEs (which is not expected to exceed the maximum </w:t>
            </w:r>
            <w:proofErr w:type="spellStart"/>
            <w:r w:rsidRPr="00C746E0">
              <w:t>RedCap</w:t>
            </w:r>
            <w:proofErr w:type="spellEnd"/>
            <w:r w:rsidRPr="00C746E0">
              <w:t xml:space="preserve"> UE bandwidth) can be optionally configured/defined separately from the initial DL BWP for non-</w:t>
            </w:r>
            <w:proofErr w:type="spellStart"/>
            <w:r w:rsidRPr="00C746E0">
              <w:t>RedCap</w:t>
            </w:r>
            <w:proofErr w:type="spellEnd"/>
            <w:r w:rsidRPr="00C746E0">
              <w:t xml:space="preserve"> UEs at least after initial access</w:t>
            </w:r>
          </w:p>
        </w:tc>
      </w:tr>
    </w:tbl>
    <w:p w:rsidR="001549F1" w:rsidRDefault="001549F1" w:rsidP="00EE6F9E">
      <w:pPr>
        <w:spacing w:afterLines="50" w:after="120"/>
        <w:rPr>
          <w:lang w:val="en-US"/>
        </w:rPr>
      </w:pPr>
    </w:p>
    <w:p w:rsidR="00CA2592" w:rsidRDefault="00CA2592" w:rsidP="00EE6F9E">
      <w:pPr>
        <w:spacing w:afterLines="50" w:after="120"/>
        <w:rPr>
          <w:lang w:val="en-US"/>
        </w:rPr>
      </w:pPr>
      <w:r>
        <w:rPr>
          <w:rFonts w:hint="eastAsia"/>
          <w:lang w:val="en-US"/>
        </w:rPr>
        <w:t>Th</w:t>
      </w:r>
      <w:r w:rsidR="004763A1">
        <w:rPr>
          <w:lang w:val="en-US"/>
        </w:rPr>
        <w:t>is</w:t>
      </w:r>
      <w:r>
        <w:rPr>
          <w:rFonts w:hint="eastAsia"/>
          <w:lang w:val="en-US"/>
        </w:rPr>
        <w:t xml:space="preserve"> paper provide </w:t>
      </w:r>
      <w:r w:rsidR="00356C80">
        <w:rPr>
          <w:lang w:val="en-US"/>
        </w:rPr>
        <w:t>the</w:t>
      </w:r>
      <w:r w:rsidR="005E312B">
        <w:rPr>
          <w:lang w:val="en-US"/>
        </w:rPr>
        <w:t xml:space="preserve"> analysis </w:t>
      </w:r>
      <w:r w:rsidR="00356C80">
        <w:rPr>
          <w:lang w:val="en-US"/>
        </w:rPr>
        <w:t xml:space="preserve">and proposal </w:t>
      </w:r>
      <w:r w:rsidR="005E312B">
        <w:rPr>
          <w:lang w:val="en-US"/>
        </w:rPr>
        <w:t xml:space="preserve">on </w:t>
      </w:r>
      <w:r w:rsidR="00356C80">
        <w:rPr>
          <w:lang w:val="en-US"/>
        </w:rPr>
        <w:t>BWP switching time for Redcap UE</w:t>
      </w:r>
      <w:r w:rsidR="00135126">
        <w:rPr>
          <w:lang w:val="en-US"/>
        </w:rPr>
        <w:t xml:space="preserve">. </w:t>
      </w:r>
    </w:p>
    <w:p w:rsidR="00595734" w:rsidRDefault="00062E8E" w:rsidP="00114774">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rsidR="001842D3" w:rsidRDefault="001842D3" w:rsidP="001842D3">
      <w:pPr>
        <w:pStyle w:val="2"/>
        <w:tabs>
          <w:tab w:val="clear" w:pos="4650"/>
        </w:tabs>
        <w:spacing w:after="240"/>
        <w:rPr>
          <w:rFonts w:eastAsiaTheme="minorEastAsia"/>
          <w:lang w:eastAsia="zh-CN"/>
        </w:rPr>
      </w:pPr>
      <w:r>
        <w:rPr>
          <w:rFonts w:eastAsiaTheme="minorEastAsia" w:hint="eastAsia"/>
          <w:lang w:eastAsia="zh-CN"/>
        </w:rPr>
        <w:t>S</w:t>
      </w:r>
      <w:r>
        <w:rPr>
          <w:rFonts w:eastAsiaTheme="minorEastAsia"/>
          <w:lang w:eastAsia="zh-CN"/>
        </w:rPr>
        <w:t>cenarios for RF retuning</w:t>
      </w:r>
    </w:p>
    <w:p w:rsidR="001842D3" w:rsidRPr="001842D3" w:rsidRDefault="001842D3" w:rsidP="001842D3">
      <w:r>
        <w:lastRenderedPageBreak/>
        <w:t xml:space="preserve">Since Redcap UE maximum channel bandwidth is reduced compared with non-Redcap, while the system bandwidth keeps wide, RF retuning (or BWP retuning) is highly required for different cases. We provide the necessity analysis on RF retuning </w:t>
      </w:r>
      <w:r w:rsidR="00BE4771">
        <w:t xml:space="preserve">across the system bandwidth </w:t>
      </w:r>
      <w:r>
        <w:t>for Redcap UE.</w:t>
      </w:r>
    </w:p>
    <w:p w:rsidR="00EC18F5" w:rsidRDefault="00EC18F5" w:rsidP="001842D3">
      <w:pPr>
        <w:pStyle w:val="3"/>
      </w:pPr>
      <w:r>
        <w:rPr>
          <w:rFonts w:hint="eastAsia"/>
        </w:rPr>
        <w:t>Co</w:t>
      </w:r>
      <w:r>
        <w:t>existence between Redcap UE and legacy non-Redcap UE</w:t>
      </w:r>
    </w:p>
    <w:p w:rsidR="00620464" w:rsidRDefault="00620464" w:rsidP="00620464">
      <w:r>
        <w:t xml:space="preserve">In existing </w:t>
      </w:r>
      <w:proofErr w:type="spellStart"/>
      <w:r>
        <w:t>eMBB</w:t>
      </w:r>
      <w:proofErr w:type="spellEnd"/>
      <w:r>
        <w:t xml:space="preserve"> NR network, one typical practice is that </w:t>
      </w:r>
      <w:proofErr w:type="spellStart"/>
      <w:r>
        <w:t>gNB</w:t>
      </w:r>
      <w:proofErr w:type="spellEnd"/>
      <w:r>
        <w:t xml:space="preserve"> configure RACH occasions</w:t>
      </w:r>
      <w:r>
        <w:rPr>
          <w:rFonts w:hint="eastAsia"/>
        </w:rPr>
        <w:t>/</w:t>
      </w:r>
      <w:r>
        <w:t xml:space="preserve">PUCCH resources to the end of the wide carrier bandwidth. This can avoid uplink PUSCH resource fragment and ensure </w:t>
      </w:r>
      <w:proofErr w:type="spellStart"/>
      <w:r>
        <w:t>eMBB</w:t>
      </w:r>
      <w:proofErr w:type="spellEnd"/>
      <w:r>
        <w:t xml:space="preserve"> UE’s data rate experience.</w:t>
      </w:r>
      <w:r w:rsidR="00B564DA">
        <w:t xml:space="preserve"> Specifically for PUCCH </w:t>
      </w:r>
      <w:bookmarkStart w:id="5" w:name="OLE_LINK38"/>
      <w:r w:rsidR="00B564DA">
        <w:t>possibly</w:t>
      </w:r>
      <w:bookmarkEnd w:id="5"/>
      <w:r w:rsidR="00B564DA">
        <w:t xml:space="preserve"> configured fragment PUSCH transmission</w:t>
      </w:r>
      <w:r>
        <w:t xml:space="preserve">, additional MPR is defined </w:t>
      </w:r>
      <w:r w:rsidR="00B564DA">
        <w:t xml:space="preserve">in TS 38.101 </w:t>
      </w:r>
      <w:r>
        <w:t>for almost contiguous allocation as below:</w:t>
      </w:r>
    </w:p>
    <w:p w:rsidR="00620464" w:rsidRPr="00620464" w:rsidRDefault="00620464" w:rsidP="00620464">
      <w:pPr>
        <w:rPr>
          <w:i/>
        </w:rPr>
      </w:pPr>
      <w:r>
        <w:rPr>
          <w:i/>
        </w:rPr>
        <w:t>“</w:t>
      </w:r>
      <w:r w:rsidRPr="00620464">
        <w:rPr>
          <w:i/>
        </w:rPr>
        <w:t>If CP-OFDM allocation satisfies following conditions, it is considered as almost contiguous allocation</w:t>
      </w:r>
    </w:p>
    <w:p w:rsidR="00620464" w:rsidRPr="00620464" w:rsidRDefault="00620464" w:rsidP="00620464">
      <w:pPr>
        <w:pStyle w:val="EQ"/>
        <w:jc w:val="center"/>
        <w:rPr>
          <w:i/>
        </w:rPr>
      </w:pPr>
      <w:r w:rsidRPr="00620464">
        <w:rPr>
          <w:i/>
        </w:rPr>
        <w:t>N</w:t>
      </w:r>
      <w:r w:rsidRPr="00620464">
        <w:rPr>
          <w:i/>
          <w:vertAlign w:val="subscript"/>
        </w:rPr>
        <w:t>RB_gap</w:t>
      </w:r>
      <w:r w:rsidRPr="00620464">
        <w:rPr>
          <w:i/>
        </w:rPr>
        <w:t xml:space="preserve"> / (N</w:t>
      </w:r>
      <w:r w:rsidRPr="00620464">
        <w:rPr>
          <w:i/>
          <w:vertAlign w:val="subscript"/>
        </w:rPr>
        <w:t>RB_alloc</w:t>
      </w:r>
      <w:r w:rsidRPr="00620464">
        <w:rPr>
          <w:i/>
        </w:rPr>
        <w:t xml:space="preserve"> + N</w:t>
      </w:r>
      <w:r w:rsidRPr="00620464">
        <w:rPr>
          <w:i/>
          <w:vertAlign w:val="subscript"/>
        </w:rPr>
        <w:t>RB_gap</w:t>
      </w:r>
      <w:r w:rsidRPr="00620464">
        <w:rPr>
          <w:i/>
        </w:rPr>
        <w:t xml:space="preserve"> ) ≤ 0.25</w:t>
      </w:r>
    </w:p>
    <w:p w:rsidR="00620464" w:rsidRPr="00620464" w:rsidRDefault="00620464" w:rsidP="00620464">
      <w:pPr>
        <w:rPr>
          <w:i/>
        </w:rPr>
      </w:pPr>
      <w:r w:rsidRPr="00620464">
        <w:rPr>
          <w:i/>
        </w:rPr>
        <w:t xml:space="preserve">and </w:t>
      </w:r>
      <w:proofErr w:type="spellStart"/>
      <w:r w:rsidRPr="00620464">
        <w:rPr>
          <w:i/>
        </w:rPr>
        <w:t>N</w:t>
      </w:r>
      <w:r w:rsidRPr="00620464">
        <w:rPr>
          <w:i/>
          <w:vertAlign w:val="subscript"/>
        </w:rPr>
        <w:t>RB_alloc</w:t>
      </w:r>
      <w:proofErr w:type="spellEnd"/>
      <w:r w:rsidRPr="00620464">
        <w:rPr>
          <w:i/>
        </w:rPr>
        <w:t xml:space="preserve"> + </w:t>
      </w:r>
      <w:proofErr w:type="spellStart"/>
      <w:r w:rsidRPr="00620464">
        <w:rPr>
          <w:i/>
        </w:rPr>
        <w:t>N</w:t>
      </w:r>
      <w:r w:rsidRPr="00620464">
        <w:rPr>
          <w:i/>
          <w:vertAlign w:val="subscript"/>
        </w:rPr>
        <w:t>RB_gap</w:t>
      </w:r>
      <w:proofErr w:type="spellEnd"/>
      <w:r w:rsidRPr="00620464">
        <w:rPr>
          <w:i/>
          <w:vertAlign w:val="subscript"/>
        </w:rPr>
        <w:t xml:space="preserve"> </w:t>
      </w:r>
      <w:r w:rsidRPr="00620464">
        <w:rPr>
          <w:i/>
        </w:rPr>
        <w:t xml:space="preserve">is larger than 106, 51 or 24 RBs for 15 kHz, 30 kHz or 60 kHz respectively </w:t>
      </w:r>
      <w:r w:rsidRPr="00620464">
        <w:rPr>
          <w:i/>
          <w:lang w:val="en-US"/>
        </w:rPr>
        <w:t xml:space="preserve">where </w:t>
      </w:r>
      <w:proofErr w:type="spellStart"/>
      <w:r w:rsidRPr="00620464">
        <w:rPr>
          <w:i/>
        </w:rPr>
        <w:t>N</w:t>
      </w:r>
      <w:r w:rsidRPr="00620464">
        <w:rPr>
          <w:i/>
          <w:vertAlign w:val="subscript"/>
        </w:rPr>
        <w:t>RB_gap</w:t>
      </w:r>
      <w:proofErr w:type="spellEnd"/>
      <w:r w:rsidRPr="00620464">
        <w:rPr>
          <w:i/>
          <w:lang w:val="en-US"/>
        </w:rPr>
        <w:t xml:space="preserve"> is the total </w:t>
      </w:r>
      <w:r w:rsidRPr="00620464">
        <w:rPr>
          <w:i/>
        </w:rPr>
        <w:t xml:space="preserve">number of unallocated RBs between allocated RBs and </w:t>
      </w:r>
      <w:proofErr w:type="spellStart"/>
      <w:r w:rsidRPr="00620464">
        <w:rPr>
          <w:i/>
        </w:rPr>
        <w:t>N</w:t>
      </w:r>
      <w:r w:rsidRPr="00620464">
        <w:rPr>
          <w:i/>
          <w:vertAlign w:val="subscript"/>
        </w:rPr>
        <w:t>RB_alloc</w:t>
      </w:r>
      <w:proofErr w:type="spellEnd"/>
      <w:r w:rsidRPr="00620464">
        <w:rPr>
          <w:i/>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620464" w:rsidRPr="00620464" w:rsidRDefault="00620464" w:rsidP="00620464">
      <w:pPr>
        <w:pStyle w:val="EQ"/>
        <w:jc w:val="center"/>
        <w:rPr>
          <w:i/>
        </w:rPr>
      </w:pPr>
      <w:r w:rsidRPr="00620464">
        <w:rPr>
          <w:i/>
        </w:rPr>
        <w:t>CEIL{ 10 log</w:t>
      </w:r>
      <w:r w:rsidRPr="00620464">
        <w:rPr>
          <w:i/>
          <w:vertAlign w:val="subscript"/>
        </w:rPr>
        <w:t>10</w:t>
      </w:r>
      <w:r w:rsidRPr="00620464">
        <w:rPr>
          <w:i/>
        </w:rPr>
        <w:t>(1 + N</w:t>
      </w:r>
      <w:r w:rsidRPr="00620464">
        <w:rPr>
          <w:i/>
          <w:vertAlign w:val="subscript"/>
        </w:rPr>
        <w:t xml:space="preserve">RB_gap / </w:t>
      </w:r>
      <w:r w:rsidRPr="00620464">
        <w:rPr>
          <w:i/>
        </w:rPr>
        <w:t>N</w:t>
      </w:r>
      <w:r w:rsidRPr="00620464">
        <w:rPr>
          <w:i/>
          <w:vertAlign w:val="subscript"/>
        </w:rPr>
        <w:t>RB_alloc</w:t>
      </w:r>
      <w:r w:rsidRPr="00620464">
        <w:rPr>
          <w:i/>
        </w:rPr>
        <w:t>), 0.5 } dB,</w:t>
      </w:r>
      <w:r>
        <w:rPr>
          <w:i/>
        </w:rPr>
        <w:t>”</w:t>
      </w:r>
    </w:p>
    <w:p w:rsidR="00620464" w:rsidRDefault="00B564DA" w:rsidP="00620464">
      <w:r>
        <w:rPr>
          <w:rFonts w:hint="eastAsia"/>
        </w:rPr>
        <w:t>M</w:t>
      </w:r>
      <w:r>
        <w:t xml:space="preserve">eanwhile, almost contiguous allocation is reported by UE </w:t>
      </w:r>
      <w:proofErr w:type="gramStart"/>
      <w:r>
        <w:t>capability</w:t>
      </w:r>
      <w:r w:rsidR="00760D8A">
        <w:t>(</w:t>
      </w:r>
      <w:proofErr w:type="gramEnd"/>
      <w:r w:rsidR="00760D8A">
        <w:t>as shown in Fig 1)</w:t>
      </w:r>
      <w:r w:rsidR="0081563E">
        <w:t>. It</w:t>
      </w:r>
      <w:r>
        <w:t xml:space="preserve"> means if UE does not support </w:t>
      </w:r>
      <w:proofErr w:type="gramStart"/>
      <w:r>
        <w:t>it</w:t>
      </w:r>
      <w:r w:rsidR="0081563E">
        <w:t>(</w:t>
      </w:r>
      <w:proofErr w:type="gramEnd"/>
      <w:r w:rsidR="0081563E">
        <w:t>only contiguous allocation is supported)</w:t>
      </w:r>
      <w:r>
        <w:t xml:space="preserve"> and PUCCH is configured in-between PUSCH resources, only part </w:t>
      </w:r>
      <w:r w:rsidR="00FF2303">
        <w:t>resources</w:t>
      </w:r>
      <w:r>
        <w:t xml:space="preserve"> could be utilized by UEs</w:t>
      </w:r>
      <w:r w:rsidR="00760D8A">
        <w:t>, it can be seen in Fig 2</w:t>
      </w:r>
      <w:r>
        <w:t xml:space="preserve">. </w:t>
      </w:r>
    </w:p>
    <w:p w:rsidR="002772BC" w:rsidRDefault="00760D8A" w:rsidP="00760D8A">
      <w:pPr>
        <w:spacing w:after="120"/>
        <w:jc w:val="center"/>
      </w:pPr>
      <w:r>
        <w:rPr>
          <w:noProof/>
          <w:lang w:val="en-US"/>
        </w:rPr>
        <w:drawing>
          <wp:inline distT="0" distB="0" distL="0" distR="0">
            <wp:extent cx="5581767" cy="384204"/>
            <wp:effectExtent l="0" t="0" r="0" b="0"/>
            <wp:docPr id="7" name="图片 7" descr="C:\Users\z00405189\AppData\Roaming\eSpace_Desktop\UserData\z00405189\imagefiles\70B1968D-7348-4AEA-9B1A-53548E06D6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0B1968D-7348-4AEA-9B1A-53548E06D6DE" descr="C:\Users\z00405189\AppData\Roaming\eSpace_Desktop\UserData\z00405189\imagefiles\70B1968D-7348-4AEA-9B1A-53548E06D6D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8434" cy="390169"/>
                    </a:xfrm>
                    <a:prstGeom prst="rect">
                      <a:avLst/>
                    </a:prstGeom>
                    <a:noFill/>
                    <a:ln>
                      <a:noFill/>
                    </a:ln>
                  </pic:spPr>
                </pic:pic>
              </a:graphicData>
            </a:graphic>
          </wp:inline>
        </w:drawing>
      </w:r>
    </w:p>
    <w:p w:rsidR="00760D8A" w:rsidRPr="00760D8A" w:rsidRDefault="00760D8A" w:rsidP="00760D8A">
      <w:pPr>
        <w:jc w:val="center"/>
        <w:rPr>
          <w:sz w:val="18"/>
        </w:rPr>
      </w:pPr>
      <w:r w:rsidRPr="00760D8A">
        <w:rPr>
          <w:rFonts w:hint="eastAsia"/>
          <w:sz w:val="18"/>
        </w:rPr>
        <w:t>F</w:t>
      </w:r>
      <w:r w:rsidRPr="00760D8A">
        <w:rPr>
          <w:sz w:val="18"/>
        </w:rPr>
        <w:t>ig 1. Almost contiguous allocation UE capability</w:t>
      </w:r>
    </w:p>
    <w:p w:rsidR="00760D8A" w:rsidRDefault="0081563E" w:rsidP="0081563E">
      <w:pPr>
        <w:spacing w:beforeLines="50" w:before="120" w:after="120"/>
        <w:jc w:val="center"/>
      </w:pPr>
      <w:r w:rsidRPr="0081563E">
        <w:rPr>
          <w:noProof/>
          <w:lang w:val="en-US"/>
        </w:rPr>
        <w:drawing>
          <wp:inline distT="0" distB="0" distL="0" distR="0" wp14:anchorId="219AC01B" wp14:editId="48C893BD">
            <wp:extent cx="4319127" cy="1782763"/>
            <wp:effectExtent l="0" t="0" r="0" b="0"/>
            <wp:docPr id="1566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74" name="Picture 2"/>
                    <pic:cNvPicPr>
                      <a:picLocks noChangeAspect="1" noChangeArrowheads="1"/>
                    </pic:cNvPicPr>
                  </pic:nvPicPr>
                  <pic:blipFill>
                    <a:blip r:embed="rId9" cstate="print"/>
                    <a:srcRect/>
                    <a:stretch>
                      <a:fillRect/>
                    </a:stretch>
                  </pic:blipFill>
                  <pic:spPr bwMode="auto">
                    <a:xfrm>
                      <a:off x="0" y="0"/>
                      <a:ext cx="4319127" cy="1782763"/>
                    </a:xfrm>
                    <a:prstGeom prst="rect">
                      <a:avLst/>
                    </a:prstGeom>
                    <a:noFill/>
                    <a:ln w="9525">
                      <a:noFill/>
                      <a:miter lim="800000"/>
                      <a:headEnd/>
                      <a:tailEnd/>
                    </a:ln>
                  </pic:spPr>
                </pic:pic>
              </a:graphicData>
            </a:graphic>
          </wp:inline>
        </w:drawing>
      </w:r>
    </w:p>
    <w:p w:rsidR="0081563E" w:rsidRPr="0081563E" w:rsidRDefault="0081563E" w:rsidP="0081563E">
      <w:pPr>
        <w:spacing w:after="120"/>
        <w:jc w:val="center"/>
        <w:rPr>
          <w:sz w:val="18"/>
        </w:rPr>
      </w:pPr>
      <w:r w:rsidRPr="0081563E">
        <w:rPr>
          <w:rFonts w:hint="eastAsia"/>
          <w:sz w:val="18"/>
        </w:rPr>
        <w:t>F</w:t>
      </w:r>
      <w:r w:rsidRPr="0081563E">
        <w:rPr>
          <w:sz w:val="18"/>
        </w:rPr>
        <w:t xml:space="preserve">ig 2. </w:t>
      </w:r>
      <w:r w:rsidR="00AA7467">
        <w:rPr>
          <w:sz w:val="18"/>
        </w:rPr>
        <w:t xml:space="preserve">PUSCH fragment by PUCCH configured in the </w:t>
      </w:r>
      <w:proofErr w:type="gramStart"/>
      <w:r w:rsidR="00AA7467">
        <w:rPr>
          <w:sz w:val="18"/>
        </w:rPr>
        <w:t>middle</w:t>
      </w:r>
      <w:r w:rsidR="00060107">
        <w:rPr>
          <w:sz w:val="18"/>
        </w:rPr>
        <w:t>[</w:t>
      </w:r>
      <w:proofErr w:type="gramEnd"/>
      <w:r w:rsidR="00060107">
        <w:rPr>
          <w:sz w:val="18"/>
        </w:rPr>
        <w:t>2]</w:t>
      </w:r>
    </w:p>
    <w:p w:rsidR="00AA7467" w:rsidRDefault="00AA7467" w:rsidP="00AA7467">
      <w:r>
        <w:t xml:space="preserve">Consider introducing </w:t>
      </w:r>
      <w:proofErr w:type="spellStart"/>
      <w:r>
        <w:t>RedCap</w:t>
      </w:r>
      <w:proofErr w:type="spellEnd"/>
      <w:r>
        <w:t xml:space="preserve"> to existing 5G network, when the maximum 20MHz UE channel bandwidth is configured in the middle of the system channel bandwidth, frequency hopping could only operate within the 20MHz CBW which will introduce severe PUSCH fragment which will have big impact on legacy non-Redcap UE. There must be available methods for the network to avoid the example case illustrated in below Fig 3. It will cause undesirable PUSCH resource fragment and result in significantly impact on </w:t>
      </w:r>
      <w:proofErr w:type="spellStart"/>
      <w:r>
        <w:t>eMBB</w:t>
      </w:r>
      <w:proofErr w:type="spellEnd"/>
      <w:r>
        <w:t xml:space="preserve"> UE experience.</w:t>
      </w:r>
    </w:p>
    <w:p w:rsidR="00AA7467" w:rsidRDefault="00AA7467" w:rsidP="00AA7467">
      <w:pPr>
        <w:spacing w:after="120"/>
        <w:jc w:val="center"/>
        <w:rPr>
          <w:lang w:eastAsia="en-US"/>
        </w:rPr>
      </w:pPr>
      <w:r>
        <w:rPr>
          <w:noProof/>
          <w:lang w:val="en-US"/>
        </w:rPr>
        <w:drawing>
          <wp:inline distT="0" distB="0" distL="0" distR="0" wp14:anchorId="4A2B90EF" wp14:editId="0463FB57">
            <wp:extent cx="2005599" cy="1784096"/>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8471" cy="1786651"/>
                    </a:xfrm>
                    <a:prstGeom prst="rect">
                      <a:avLst/>
                    </a:prstGeom>
                    <a:noFill/>
                  </pic:spPr>
                </pic:pic>
              </a:graphicData>
            </a:graphic>
          </wp:inline>
        </w:drawing>
      </w:r>
    </w:p>
    <w:p w:rsidR="00AA7467" w:rsidRPr="00AA7467" w:rsidRDefault="00AA7467" w:rsidP="00AA7467">
      <w:pPr>
        <w:jc w:val="center"/>
        <w:rPr>
          <w:sz w:val="18"/>
        </w:rPr>
      </w:pPr>
      <w:r w:rsidRPr="00AA7467">
        <w:rPr>
          <w:rFonts w:hint="eastAsia"/>
          <w:sz w:val="18"/>
        </w:rPr>
        <w:t>Fi</w:t>
      </w:r>
      <w:r w:rsidRPr="00AA7467">
        <w:rPr>
          <w:sz w:val="18"/>
        </w:rPr>
        <w:t>g 3</w:t>
      </w:r>
      <w:r w:rsidR="005D0E6B">
        <w:rPr>
          <w:sz w:val="18"/>
        </w:rPr>
        <w:t>.</w:t>
      </w:r>
      <w:r>
        <w:rPr>
          <w:sz w:val="18"/>
        </w:rPr>
        <w:t xml:space="preserve"> </w:t>
      </w:r>
      <w:r w:rsidRPr="00AA7467">
        <w:rPr>
          <w:sz w:val="18"/>
        </w:rPr>
        <w:t xml:space="preserve">Illustration of the undesirable PUSCH resource fragment potential caused by potential </w:t>
      </w:r>
      <w:proofErr w:type="spellStart"/>
      <w:r w:rsidRPr="00AA7467">
        <w:rPr>
          <w:sz w:val="18"/>
        </w:rPr>
        <w:t>RedCap</w:t>
      </w:r>
      <w:proofErr w:type="spellEnd"/>
    </w:p>
    <w:p w:rsidR="002772BC" w:rsidRDefault="002772BC" w:rsidP="00620464">
      <w:pPr>
        <w:rPr>
          <w:b/>
          <w:i/>
        </w:rPr>
      </w:pPr>
      <w:r w:rsidRPr="002772BC">
        <w:rPr>
          <w:b/>
          <w:i/>
        </w:rPr>
        <w:t xml:space="preserve">Observation 1: </w:t>
      </w:r>
      <w:r>
        <w:rPr>
          <w:b/>
          <w:i/>
        </w:rPr>
        <w:t xml:space="preserve">significant transmission power back off is introduced by resource fragment </w:t>
      </w:r>
      <w:r w:rsidR="008755A9">
        <w:rPr>
          <w:b/>
          <w:i/>
        </w:rPr>
        <w:t>with</w:t>
      </w:r>
      <w:r>
        <w:rPr>
          <w:b/>
          <w:i/>
        </w:rPr>
        <w:t xml:space="preserve"> PUCCH configured in-between PUSCH when UE supports almost contiguous allocation capability; </w:t>
      </w:r>
      <w:r w:rsidR="0081563E">
        <w:rPr>
          <w:b/>
          <w:i/>
        </w:rPr>
        <w:t xml:space="preserve">while UE only supports contiguous allocation, </w:t>
      </w:r>
      <w:r w:rsidR="00AA7467">
        <w:rPr>
          <w:b/>
          <w:i/>
        </w:rPr>
        <w:t>part of RB resources can be utilized will have big impact on UL performance.</w:t>
      </w:r>
    </w:p>
    <w:p w:rsidR="00AA7467" w:rsidRDefault="00AA7467" w:rsidP="00620464">
      <w:pPr>
        <w:rPr>
          <w:b/>
          <w:i/>
        </w:rPr>
      </w:pPr>
      <w:r>
        <w:rPr>
          <w:b/>
          <w:i/>
        </w:rPr>
        <w:t xml:space="preserve">Observation 2: </w:t>
      </w:r>
      <w:r w:rsidRPr="00AA7467">
        <w:rPr>
          <w:b/>
          <w:i/>
        </w:rPr>
        <w:t xml:space="preserve">Network shall be able to configure PUCCH resources at the end sides of the wide carrier bandwidth for </w:t>
      </w:r>
      <w:proofErr w:type="spellStart"/>
      <w:r w:rsidRPr="00AA7467">
        <w:rPr>
          <w:b/>
          <w:i/>
        </w:rPr>
        <w:t>RedCap</w:t>
      </w:r>
      <w:proofErr w:type="spellEnd"/>
      <w:r w:rsidR="00C82767">
        <w:rPr>
          <w:b/>
          <w:i/>
        </w:rPr>
        <w:t xml:space="preserve"> UE</w:t>
      </w:r>
      <w:r w:rsidRPr="00AA7467">
        <w:rPr>
          <w:b/>
          <w:i/>
        </w:rPr>
        <w:t>, to avoid introducing uplink PUSCH resource fragment.</w:t>
      </w:r>
    </w:p>
    <w:p w:rsidR="00622A14" w:rsidRDefault="00622A14" w:rsidP="00622A14">
      <w:pPr>
        <w:pStyle w:val="3"/>
      </w:pPr>
      <w:r w:rsidRPr="001842D3">
        <w:t xml:space="preserve">Hopping or schedule in wider BW than maximum </w:t>
      </w:r>
      <w:proofErr w:type="spellStart"/>
      <w:r w:rsidRPr="001842D3">
        <w:t>RedCap</w:t>
      </w:r>
      <w:proofErr w:type="spellEnd"/>
      <w:r w:rsidRPr="001842D3">
        <w:t xml:space="preserve"> UE BW</w:t>
      </w:r>
    </w:p>
    <w:p w:rsidR="00622A14" w:rsidRPr="001842D3" w:rsidRDefault="00622A14" w:rsidP="00622A14">
      <w:pPr>
        <w:rPr>
          <w:lang w:val="x-none" w:eastAsia="x-none"/>
        </w:rPr>
      </w:pPr>
      <w:r w:rsidRPr="001842D3">
        <w:rPr>
          <w:lang w:val="x-none" w:eastAsia="x-none"/>
        </w:rPr>
        <w:t>As evaluated in TR 38.875, reduced maximum UE bandwidth may cause loss of frequency diversity gain.</w:t>
      </w:r>
    </w:p>
    <w:p w:rsidR="00622A14" w:rsidRPr="001842D3" w:rsidRDefault="00622A14" w:rsidP="00622A14">
      <w:pPr>
        <w:rPr>
          <w:lang w:val="x-none" w:eastAsia="x-none"/>
        </w:rPr>
      </w:pPr>
      <w:r w:rsidRPr="001842D3">
        <w:rPr>
          <w:lang w:val="x-none" w:eastAsia="x-none"/>
        </w:rPr>
        <w:t xml:space="preserve">To achieve larger diversity gain and interference randomization, hopping or scheduling in BW larger than 20MHz can be considered. Thus, </w:t>
      </w:r>
      <w:proofErr w:type="spellStart"/>
      <w:r w:rsidRPr="001842D3">
        <w:rPr>
          <w:lang w:val="x-none" w:eastAsia="x-none"/>
        </w:rPr>
        <w:t>RedCap</w:t>
      </w:r>
      <w:proofErr w:type="spellEnd"/>
      <w:r w:rsidRPr="001842D3">
        <w:rPr>
          <w:lang w:val="x-none" w:eastAsia="x-none"/>
        </w:rPr>
        <w:t xml:space="preserve"> UEs possibly need to operate RF retuning to acquire suitable frequency resource by measure channel quality. Also, </w:t>
      </w:r>
      <w:proofErr w:type="spellStart"/>
      <w:r w:rsidRPr="001842D3">
        <w:rPr>
          <w:lang w:val="x-none" w:eastAsia="x-none"/>
        </w:rPr>
        <w:t>RedCap</w:t>
      </w:r>
      <w:proofErr w:type="spellEnd"/>
      <w:r w:rsidRPr="001842D3">
        <w:rPr>
          <w:lang w:val="x-none" w:eastAsia="x-none"/>
        </w:rPr>
        <w:t xml:space="preserve"> UE may need to perform RF retuning to transmit/receive outside 20MHz to obtain larger diversity gain or frequency selective scheduling gain.</w:t>
      </w:r>
    </w:p>
    <w:p w:rsidR="001842D3" w:rsidRDefault="001842D3" w:rsidP="001842D3">
      <w:pPr>
        <w:pStyle w:val="3"/>
      </w:pPr>
      <w:bookmarkStart w:id="6" w:name="OLE_LINK42"/>
      <w:r w:rsidRPr="001842D3">
        <w:t>Load balance and make room for high priority traffic</w:t>
      </w:r>
    </w:p>
    <w:p w:rsidR="001842D3" w:rsidRDefault="001842D3" w:rsidP="001842D3">
      <w:r>
        <w:t xml:space="preserve">For </w:t>
      </w:r>
      <w:proofErr w:type="spellStart"/>
      <w:r w:rsidRPr="008B3EF7">
        <w:t>RedCap</w:t>
      </w:r>
      <w:proofErr w:type="spellEnd"/>
      <w:r w:rsidRPr="008B3EF7">
        <w:t xml:space="preserve">, the </w:t>
      </w:r>
      <w:proofErr w:type="spellStart"/>
      <w:r w:rsidRPr="008B3EF7">
        <w:t>gNB</w:t>
      </w:r>
      <w:proofErr w:type="spellEnd"/>
      <w:r w:rsidRPr="008B3EF7">
        <w:t xml:space="preserve"> can assign </w:t>
      </w:r>
      <w:proofErr w:type="spellStart"/>
      <w:r w:rsidRPr="008B3EF7">
        <w:t>RedCap</w:t>
      </w:r>
      <w:proofErr w:type="spellEnd"/>
      <w:r w:rsidRPr="008B3EF7">
        <w:t xml:space="preserve"> UEs to different </w:t>
      </w:r>
      <w:r>
        <w:t xml:space="preserve">20MHz to alleviate resource congestion for load balance. Also, sometimes, </w:t>
      </w:r>
      <w:proofErr w:type="spellStart"/>
      <w:r>
        <w:t>gNB</w:t>
      </w:r>
      <w:proofErr w:type="spellEnd"/>
      <w:r>
        <w:t xml:space="preserve"> may need to re-allocate</w:t>
      </w:r>
      <w:r>
        <w:rPr>
          <w:rFonts w:hint="eastAsia"/>
        </w:rPr>
        <w:t xml:space="preserve"> </w:t>
      </w:r>
      <w:r>
        <w:t xml:space="preserve">or schedule </w:t>
      </w:r>
      <w:proofErr w:type="spellStart"/>
      <w:r>
        <w:t>RedCap</w:t>
      </w:r>
      <w:proofErr w:type="spellEnd"/>
      <w:r>
        <w:t xml:space="preserve"> UE on a different 20MHz within the network carrier bandwidth to avoid occupy resources where high priority traffic for </w:t>
      </w:r>
      <w:proofErr w:type="spellStart"/>
      <w:r>
        <w:t>eMBB</w:t>
      </w:r>
      <w:proofErr w:type="spellEnd"/>
      <w:r>
        <w:t xml:space="preserve"> or URLLC UE arrives</w:t>
      </w:r>
      <w:r w:rsidRPr="00216806">
        <w:t>.</w:t>
      </w:r>
      <w:r>
        <w:t xml:space="preserve"> There should be RF retuning for </w:t>
      </w:r>
      <w:proofErr w:type="spellStart"/>
      <w:r>
        <w:t>RedCap</w:t>
      </w:r>
      <w:proofErr w:type="spellEnd"/>
      <w:r>
        <w:t xml:space="preserve"> UEs in these cases.</w:t>
      </w:r>
    </w:p>
    <w:p w:rsidR="00541B93" w:rsidRPr="00541B93" w:rsidRDefault="00541B93" w:rsidP="00541B93">
      <w:pPr>
        <w:rPr>
          <w:b/>
          <w:i/>
        </w:rPr>
      </w:pPr>
      <w:r w:rsidRPr="00541B93">
        <w:rPr>
          <w:b/>
          <w:i/>
        </w:rPr>
        <w:t>Observation 3: Frequency hopping across larger BW (e.g., 100MHz) is beneficial in terms of diversity gain or frequency selective scheduling gain.</w:t>
      </w:r>
    </w:p>
    <w:p w:rsidR="00622A14" w:rsidRDefault="00C82767" w:rsidP="00620464">
      <w:pPr>
        <w:rPr>
          <w:b/>
          <w:i/>
        </w:rPr>
      </w:pPr>
      <w:r>
        <w:rPr>
          <w:b/>
          <w:i/>
        </w:rPr>
        <w:t>Proposal 1:</w:t>
      </w:r>
      <w:bookmarkEnd w:id="6"/>
      <w:r>
        <w:rPr>
          <w:b/>
          <w:i/>
        </w:rPr>
        <w:t xml:space="preserve"> </w:t>
      </w:r>
      <w:proofErr w:type="spellStart"/>
      <w:r w:rsidR="00541B93">
        <w:rPr>
          <w:b/>
          <w:i/>
        </w:rPr>
        <w:t>RedCap</w:t>
      </w:r>
      <w:proofErr w:type="spellEnd"/>
      <w:r w:rsidR="00541B93">
        <w:rPr>
          <w:b/>
          <w:i/>
        </w:rPr>
        <w:t xml:space="preserve"> UE should support </w:t>
      </w:r>
      <w:proofErr w:type="spellStart"/>
      <w:r w:rsidR="00541B93">
        <w:rPr>
          <w:b/>
          <w:i/>
        </w:rPr>
        <w:t>center</w:t>
      </w:r>
      <w:proofErr w:type="spellEnd"/>
      <w:r w:rsidR="00541B93">
        <w:rPr>
          <w:b/>
          <w:i/>
        </w:rPr>
        <w:t xml:space="preserve"> frequency change/RF retuning across a bandwidth larger than its maximum UE bandwidth</w:t>
      </w:r>
      <w:r w:rsidR="00541B93">
        <w:rPr>
          <w:rFonts w:hint="eastAsia"/>
          <w:b/>
          <w:i/>
        </w:rPr>
        <w:t>.</w:t>
      </w:r>
      <w:r w:rsidR="00541B93">
        <w:rPr>
          <w:b/>
          <w:i/>
        </w:rPr>
        <w:t xml:space="preserve"> </w:t>
      </w:r>
    </w:p>
    <w:p w:rsidR="00774F15" w:rsidRDefault="00774F15" w:rsidP="00774F15">
      <w:bookmarkStart w:id="7" w:name="OLE_LINK35"/>
      <w:r>
        <w:t>Currently, RAN4 has defined famous BWP switching delay which includes RF retuning operation.</w:t>
      </w:r>
    </w:p>
    <w:p w:rsidR="00774F15" w:rsidRDefault="00774F15" w:rsidP="00774F15">
      <w:r>
        <w:t xml:space="preserve">For BWP switching delay, besides RF retuning it also includes the BB processing/initiating, preparing and loading time. The switching operation could be triggered by DCI/timer, and RRC configuration. In Rel-15 discussion, 140us is assumed as a typical value for RF retuning operation, while hundreds </w:t>
      </w:r>
      <w:proofErr w:type="spellStart"/>
      <w:r>
        <w:t>μs</w:t>
      </w:r>
      <w:proofErr w:type="spellEnd"/>
      <w:r>
        <w:t xml:space="preserve"> to &gt;1ms is used for other operations, and it finally leads to 2 types BWP switching delay.</w:t>
      </w:r>
    </w:p>
    <w:p w:rsidR="00774F15" w:rsidRDefault="00774F15" w:rsidP="00774F15">
      <w:pPr>
        <w:rPr>
          <w:b/>
          <w:i/>
        </w:rPr>
      </w:pPr>
      <w:r w:rsidRPr="00774F15">
        <w:rPr>
          <w:b/>
          <w:i/>
        </w:rPr>
        <w:t>Proposal 2: BWP framework can be utilized for Redcap UE for the scenario that UE only performs RF retuning across a bandwidth wider than UE maximum bandwidth without change BWP specific parameters.</w:t>
      </w:r>
      <w:bookmarkEnd w:id="7"/>
    </w:p>
    <w:p w:rsidR="003C1161" w:rsidRDefault="00C82767" w:rsidP="003C1161">
      <w:pPr>
        <w:pStyle w:val="2"/>
        <w:tabs>
          <w:tab w:val="clear" w:pos="4650"/>
        </w:tabs>
        <w:spacing w:after="240"/>
        <w:rPr>
          <w:rFonts w:eastAsia="宋体"/>
          <w:lang w:eastAsia="zh-CN"/>
        </w:rPr>
      </w:pPr>
      <w:r>
        <w:rPr>
          <w:rFonts w:eastAsia="宋体"/>
          <w:lang w:eastAsia="zh-CN"/>
        </w:rPr>
        <w:t>BWP switching time for Redcap UE</w:t>
      </w:r>
    </w:p>
    <w:p w:rsidR="00C82767" w:rsidRPr="00C82767" w:rsidRDefault="00C82767" w:rsidP="00C82767">
      <w:pPr>
        <w:pStyle w:val="3"/>
      </w:pPr>
      <w:r w:rsidRPr="00C82767">
        <w:t>Current BWP switching time in TS 38.133</w:t>
      </w:r>
    </w:p>
    <w:p w:rsidR="002E1DB1" w:rsidRDefault="00806CF7" w:rsidP="00C15BE6">
      <w:r w:rsidRPr="00806CF7">
        <w:t xml:space="preserve">As specified in TS 38.133, BWP switching time with DCI indicating or timer is defined as two kinds of UE capability based on slot length as </w:t>
      </w:r>
      <w:r w:rsidR="006A157D">
        <w:t>in table 1</w:t>
      </w:r>
      <w:r w:rsidRPr="00806CF7">
        <w:t xml:space="preserve">, </w:t>
      </w:r>
      <w:r w:rsidRPr="00806CF7">
        <w:rPr>
          <w:highlight w:val="yellow"/>
        </w:rPr>
        <w:t>the switching delay is time from UE received switching request(or immediately after a BWP-inactivity timer expires) to UE can transmit/receive new BWP.</w:t>
      </w:r>
      <w:r w:rsidR="006A157D">
        <w:t xml:space="preserve"> </w:t>
      </w:r>
    </w:p>
    <w:p w:rsidR="006A157D" w:rsidRPr="00BE78B0" w:rsidRDefault="006A157D" w:rsidP="006A157D">
      <w:pPr>
        <w:pStyle w:val="TH"/>
      </w:pPr>
      <w:r>
        <w:t xml:space="preserve">Table </w:t>
      </w:r>
      <w:r w:rsidRPr="00BE78B0">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A157D" w:rsidRPr="00BE78B0" w:rsidTr="00B14635">
        <w:trPr>
          <w:trHeight w:val="305"/>
          <w:jc w:val="center"/>
        </w:trPr>
        <w:tc>
          <w:tcPr>
            <w:tcW w:w="649" w:type="dxa"/>
            <w:vMerge w:val="restart"/>
            <w:shd w:val="clear" w:color="auto" w:fill="auto"/>
            <w:vAlign w:val="center"/>
          </w:tcPr>
          <w:p w:rsidR="006A157D" w:rsidRPr="00BE78B0" w:rsidRDefault="006A157D" w:rsidP="00B14635">
            <w:pPr>
              <w:pStyle w:val="TAH"/>
            </w:pPr>
            <w:r w:rsidRPr="00CD0786">
              <w:rPr>
                <w:noProof/>
                <w:lang w:val="en-US" w:eastAsia="zh-CN"/>
              </w:rPr>
              <w:drawing>
                <wp:inline distT="0" distB="0" distL="0" distR="0">
                  <wp:extent cx="142875" cy="160655"/>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0655"/>
                          </a:xfrm>
                          <a:prstGeom prst="rect">
                            <a:avLst/>
                          </a:prstGeom>
                          <a:noFill/>
                          <a:ln>
                            <a:noFill/>
                          </a:ln>
                        </pic:spPr>
                      </pic:pic>
                    </a:graphicData>
                  </a:graphic>
                </wp:inline>
              </w:drawing>
            </w:r>
          </w:p>
        </w:tc>
        <w:tc>
          <w:tcPr>
            <w:tcW w:w="992" w:type="dxa"/>
            <w:vMerge w:val="restart"/>
          </w:tcPr>
          <w:p w:rsidR="006A157D" w:rsidRPr="00BE78B0" w:rsidRDefault="006A157D" w:rsidP="00B14635">
            <w:pPr>
              <w:pStyle w:val="TAH"/>
            </w:pPr>
            <w:r w:rsidRPr="00BE78B0">
              <w:t>NR Slot length (</w:t>
            </w:r>
            <w:proofErr w:type="spellStart"/>
            <w:r w:rsidRPr="00BE78B0">
              <w:t>ms</w:t>
            </w:r>
            <w:proofErr w:type="spellEnd"/>
            <w:r w:rsidRPr="00BE78B0">
              <w:t>)</w:t>
            </w:r>
          </w:p>
        </w:tc>
        <w:tc>
          <w:tcPr>
            <w:tcW w:w="3938" w:type="dxa"/>
            <w:gridSpan w:val="2"/>
          </w:tcPr>
          <w:p w:rsidR="006A157D" w:rsidRPr="00BE78B0" w:rsidRDefault="006A157D" w:rsidP="00B14635">
            <w:pPr>
              <w:pStyle w:val="TAH"/>
              <w:rPr>
                <w:lang w:eastAsia="zh-CN"/>
              </w:rPr>
            </w:pPr>
            <w:r w:rsidRPr="00BE78B0">
              <w:rPr>
                <w:lang w:eastAsia="zh-CN"/>
              </w:rPr>
              <w:t xml:space="preserve">BWP switch delay </w:t>
            </w:r>
            <w:proofErr w:type="spellStart"/>
            <w:r w:rsidRPr="00BE78B0">
              <w:rPr>
                <w:lang w:eastAsia="zh-CN"/>
              </w:rPr>
              <w:t>T</w:t>
            </w:r>
            <w:r w:rsidRPr="00BE78B0">
              <w:rPr>
                <w:vertAlign w:val="subscript"/>
                <w:lang w:eastAsia="zh-CN"/>
              </w:rPr>
              <w:t>BWPswitchDelay</w:t>
            </w:r>
            <w:proofErr w:type="spellEnd"/>
            <w:r w:rsidRPr="00BE78B0">
              <w:rPr>
                <w:lang w:eastAsia="zh-CN"/>
              </w:rPr>
              <w:t xml:space="preserve"> (slots)</w:t>
            </w:r>
          </w:p>
        </w:tc>
      </w:tr>
      <w:tr w:rsidR="006A157D" w:rsidRPr="00BE78B0" w:rsidTr="00B14635">
        <w:trPr>
          <w:trHeight w:val="306"/>
          <w:jc w:val="center"/>
        </w:trPr>
        <w:tc>
          <w:tcPr>
            <w:tcW w:w="649" w:type="dxa"/>
            <w:vMerge/>
            <w:shd w:val="clear" w:color="auto" w:fill="auto"/>
            <w:vAlign w:val="center"/>
          </w:tcPr>
          <w:p w:rsidR="006A157D" w:rsidRPr="00BE78B0" w:rsidRDefault="006A157D" w:rsidP="00B14635">
            <w:pPr>
              <w:pStyle w:val="TAH"/>
            </w:pPr>
          </w:p>
        </w:tc>
        <w:tc>
          <w:tcPr>
            <w:tcW w:w="992" w:type="dxa"/>
            <w:vMerge/>
          </w:tcPr>
          <w:p w:rsidR="006A157D" w:rsidRPr="00BE78B0" w:rsidRDefault="006A157D" w:rsidP="00B14635">
            <w:pPr>
              <w:pStyle w:val="TAH"/>
            </w:pPr>
          </w:p>
        </w:tc>
        <w:tc>
          <w:tcPr>
            <w:tcW w:w="1969" w:type="dxa"/>
          </w:tcPr>
          <w:p w:rsidR="006A157D" w:rsidRPr="00BE78B0" w:rsidRDefault="006A157D" w:rsidP="00B14635">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rsidR="006A157D" w:rsidRPr="00BE78B0" w:rsidRDefault="006A157D" w:rsidP="00B14635">
            <w:pPr>
              <w:pStyle w:val="TAH"/>
              <w:rPr>
                <w:vertAlign w:val="superscript"/>
                <w:lang w:eastAsia="zh-CN"/>
              </w:rPr>
            </w:pPr>
            <w:r w:rsidRPr="00BE78B0">
              <w:rPr>
                <w:lang w:eastAsia="zh-CN"/>
              </w:rPr>
              <w:t>Type 2</w:t>
            </w:r>
            <w:r w:rsidRPr="00BE78B0">
              <w:rPr>
                <w:vertAlign w:val="superscript"/>
                <w:lang w:eastAsia="zh-CN"/>
              </w:rPr>
              <w:t>Note 1</w:t>
            </w:r>
          </w:p>
        </w:tc>
      </w:tr>
      <w:tr w:rsidR="006A157D" w:rsidRPr="00BE78B0" w:rsidDel="00FC0501" w:rsidTr="00B14635">
        <w:trPr>
          <w:jc w:val="center"/>
        </w:trPr>
        <w:tc>
          <w:tcPr>
            <w:tcW w:w="649" w:type="dxa"/>
            <w:shd w:val="clear" w:color="auto" w:fill="auto"/>
          </w:tcPr>
          <w:p w:rsidR="006A157D" w:rsidRPr="00BE78B0" w:rsidRDefault="006A157D" w:rsidP="00B14635">
            <w:pPr>
              <w:pStyle w:val="TAC"/>
            </w:pPr>
            <w:r w:rsidRPr="00BE78B0">
              <w:t>0</w:t>
            </w:r>
          </w:p>
        </w:tc>
        <w:tc>
          <w:tcPr>
            <w:tcW w:w="992" w:type="dxa"/>
          </w:tcPr>
          <w:p w:rsidR="006A157D" w:rsidRPr="00BE78B0" w:rsidRDefault="006A157D" w:rsidP="00B14635">
            <w:pPr>
              <w:pStyle w:val="TAC"/>
            </w:pPr>
            <w:r w:rsidRPr="00BE78B0">
              <w:t>1</w:t>
            </w:r>
          </w:p>
        </w:tc>
        <w:tc>
          <w:tcPr>
            <w:tcW w:w="1969" w:type="dxa"/>
            <w:shd w:val="clear" w:color="auto" w:fill="auto"/>
          </w:tcPr>
          <w:p w:rsidR="006A157D" w:rsidRPr="00BE78B0" w:rsidRDefault="006A157D" w:rsidP="00B14635">
            <w:pPr>
              <w:pStyle w:val="TAC"/>
            </w:pPr>
            <w:r w:rsidRPr="00BE78B0">
              <w:t>1</w:t>
            </w:r>
          </w:p>
        </w:tc>
        <w:tc>
          <w:tcPr>
            <w:tcW w:w="1969" w:type="dxa"/>
          </w:tcPr>
          <w:p w:rsidR="006A157D" w:rsidRPr="00BE78B0" w:rsidRDefault="006A157D" w:rsidP="00B14635">
            <w:pPr>
              <w:pStyle w:val="TAC"/>
            </w:pPr>
            <w:r w:rsidRPr="00BE78B0">
              <w:t>3</w:t>
            </w:r>
          </w:p>
        </w:tc>
      </w:tr>
      <w:tr w:rsidR="006A157D" w:rsidRPr="00BE78B0" w:rsidDel="00FC0501" w:rsidTr="00B14635">
        <w:trPr>
          <w:jc w:val="center"/>
        </w:trPr>
        <w:tc>
          <w:tcPr>
            <w:tcW w:w="649" w:type="dxa"/>
            <w:shd w:val="clear" w:color="auto" w:fill="auto"/>
          </w:tcPr>
          <w:p w:rsidR="006A157D" w:rsidRPr="00BE78B0" w:rsidRDefault="006A157D" w:rsidP="00B14635">
            <w:pPr>
              <w:pStyle w:val="TAC"/>
            </w:pPr>
            <w:r w:rsidRPr="00BE78B0">
              <w:t>1</w:t>
            </w:r>
          </w:p>
        </w:tc>
        <w:tc>
          <w:tcPr>
            <w:tcW w:w="992" w:type="dxa"/>
          </w:tcPr>
          <w:p w:rsidR="006A157D" w:rsidRPr="00BE78B0" w:rsidRDefault="006A157D" w:rsidP="00B14635">
            <w:pPr>
              <w:pStyle w:val="TAC"/>
            </w:pPr>
            <w:r w:rsidRPr="00BE78B0">
              <w:t>0.5</w:t>
            </w:r>
          </w:p>
        </w:tc>
        <w:tc>
          <w:tcPr>
            <w:tcW w:w="1969" w:type="dxa"/>
            <w:shd w:val="clear" w:color="auto" w:fill="auto"/>
          </w:tcPr>
          <w:p w:rsidR="006A157D" w:rsidRPr="00BE78B0" w:rsidRDefault="006A157D" w:rsidP="00B14635">
            <w:pPr>
              <w:pStyle w:val="TAC"/>
            </w:pPr>
            <w:r w:rsidRPr="00BE78B0">
              <w:t>2</w:t>
            </w:r>
          </w:p>
        </w:tc>
        <w:tc>
          <w:tcPr>
            <w:tcW w:w="1969" w:type="dxa"/>
          </w:tcPr>
          <w:p w:rsidR="006A157D" w:rsidRPr="00BE78B0" w:rsidRDefault="006A157D" w:rsidP="00B14635">
            <w:pPr>
              <w:pStyle w:val="TAC"/>
            </w:pPr>
            <w:r w:rsidRPr="00BE78B0">
              <w:t>5</w:t>
            </w:r>
          </w:p>
        </w:tc>
      </w:tr>
      <w:tr w:rsidR="006A157D" w:rsidRPr="00BE78B0" w:rsidDel="00FC0501" w:rsidTr="00B14635">
        <w:trPr>
          <w:jc w:val="center"/>
        </w:trPr>
        <w:tc>
          <w:tcPr>
            <w:tcW w:w="649" w:type="dxa"/>
            <w:shd w:val="clear" w:color="auto" w:fill="auto"/>
          </w:tcPr>
          <w:p w:rsidR="006A157D" w:rsidRPr="00BE78B0" w:rsidRDefault="006A157D" w:rsidP="00B14635">
            <w:pPr>
              <w:pStyle w:val="TAC"/>
            </w:pPr>
            <w:r w:rsidRPr="00BE78B0">
              <w:t>2</w:t>
            </w:r>
          </w:p>
        </w:tc>
        <w:tc>
          <w:tcPr>
            <w:tcW w:w="992" w:type="dxa"/>
          </w:tcPr>
          <w:p w:rsidR="006A157D" w:rsidRPr="00BE78B0" w:rsidRDefault="006A157D" w:rsidP="00B14635">
            <w:pPr>
              <w:pStyle w:val="TAC"/>
            </w:pPr>
            <w:r w:rsidRPr="00BE78B0">
              <w:t>0.25</w:t>
            </w:r>
          </w:p>
        </w:tc>
        <w:tc>
          <w:tcPr>
            <w:tcW w:w="1969" w:type="dxa"/>
            <w:shd w:val="clear" w:color="auto" w:fill="auto"/>
          </w:tcPr>
          <w:p w:rsidR="006A157D" w:rsidRPr="00BE78B0" w:rsidRDefault="006A157D" w:rsidP="00B14635">
            <w:pPr>
              <w:pStyle w:val="TAC"/>
            </w:pPr>
            <w:r w:rsidRPr="00BE78B0">
              <w:t>3</w:t>
            </w:r>
          </w:p>
        </w:tc>
        <w:tc>
          <w:tcPr>
            <w:tcW w:w="1969" w:type="dxa"/>
          </w:tcPr>
          <w:p w:rsidR="006A157D" w:rsidRPr="00BE78B0" w:rsidRDefault="006A157D" w:rsidP="00B14635">
            <w:pPr>
              <w:pStyle w:val="TAC"/>
            </w:pPr>
            <w:r w:rsidRPr="00BE78B0">
              <w:t>9</w:t>
            </w:r>
          </w:p>
        </w:tc>
      </w:tr>
      <w:tr w:rsidR="006A157D" w:rsidRPr="00BE78B0" w:rsidDel="00FC0501" w:rsidTr="00B14635">
        <w:trPr>
          <w:jc w:val="center"/>
        </w:trPr>
        <w:tc>
          <w:tcPr>
            <w:tcW w:w="649" w:type="dxa"/>
            <w:shd w:val="clear" w:color="auto" w:fill="auto"/>
          </w:tcPr>
          <w:p w:rsidR="006A157D" w:rsidRPr="00BE78B0" w:rsidRDefault="006A157D" w:rsidP="00B14635">
            <w:pPr>
              <w:pStyle w:val="TAC"/>
            </w:pPr>
            <w:r w:rsidRPr="00BE78B0">
              <w:t>3</w:t>
            </w:r>
          </w:p>
        </w:tc>
        <w:tc>
          <w:tcPr>
            <w:tcW w:w="992" w:type="dxa"/>
          </w:tcPr>
          <w:p w:rsidR="006A157D" w:rsidRPr="00BE78B0" w:rsidRDefault="006A157D" w:rsidP="00B14635">
            <w:pPr>
              <w:pStyle w:val="TAC"/>
            </w:pPr>
            <w:r w:rsidRPr="00BE78B0">
              <w:t>0.125</w:t>
            </w:r>
          </w:p>
        </w:tc>
        <w:tc>
          <w:tcPr>
            <w:tcW w:w="1969" w:type="dxa"/>
            <w:shd w:val="clear" w:color="auto" w:fill="auto"/>
          </w:tcPr>
          <w:p w:rsidR="006A157D" w:rsidRPr="00BE78B0" w:rsidRDefault="006A157D" w:rsidP="00B14635">
            <w:pPr>
              <w:pStyle w:val="TAC"/>
            </w:pPr>
            <w:r w:rsidRPr="00BE78B0">
              <w:t>6</w:t>
            </w:r>
          </w:p>
        </w:tc>
        <w:tc>
          <w:tcPr>
            <w:tcW w:w="1969" w:type="dxa"/>
          </w:tcPr>
          <w:p w:rsidR="006A157D" w:rsidRPr="00BE78B0" w:rsidRDefault="006A157D" w:rsidP="00B14635">
            <w:pPr>
              <w:pStyle w:val="TAC"/>
            </w:pPr>
            <w:r w:rsidRPr="00BE78B0">
              <w:t>18</w:t>
            </w:r>
          </w:p>
        </w:tc>
      </w:tr>
      <w:tr w:rsidR="006A157D" w:rsidRPr="00BE78B0" w:rsidDel="00FC0501" w:rsidTr="00B14635">
        <w:trPr>
          <w:jc w:val="center"/>
        </w:trPr>
        <w:tc>
          <w:tcPr>
            <w:tcW w:w="5579" w:type="dxa"/>
            <w:gridSpan w:val="4"/>
            <w:shd w:val="clear" w:color="auto" w:fill="auto"/>
          </w:tcPr>
          <w:p w:rsidR="006A157D" w:rsidRPr="00BE78B0" w:rsidRDefault="006A157D" w:rsidP="00B14635">
            <w:pPr>
              <w:pStyle w:val="TAN"/>
            </w:pPr>
            <w:r w:rsidRPr="00BE78B0">
              <w:t>Note 1:</w:t>
            </w:r>
            <w:r w:rsidRPr="00BE78B0">
              <w:tab/>
              <w:t>Depends on UE capability.</w:t>
            </w:r>
          </w:p>
          <w:p w:rsidR="006A157D" w:rsidRPr="00BE78B0" w:rsidRDefault="006A157D" w:rsidP="00B14635">
            <w:pPr>
              <w:pStyle w:val="TAN"/>
            </w:pPr>
            <w:r w:rsidRPr="00BE78B0">
              <w:t>Note 2:</w:t>
            </w:r>
            <w:r w:rsidRPr="00BE78B0">
              <w:tab/>
              <w:t>If the BWP switch involves changing of SCS, the BWP switch delay is determined by the larger one between the SCS before BWP switch and the SCS after BWP switch.</w:t>
            </w:r>
          </w:p>
        </w:tc>
      </w:tr>
    </w:tbl>
    <w:p w:rsidR="002E1DB1" w:rsidRDefault="002E1DB1" w:rsidP="00C15BE6"/>
    <w:p w:rsidR="006A157D" w:rsidRDefault="006A157D" w:rsidP="00C15BE6">
      <w:pPr>
        <w:rPr>
          <w:lang w:val="en-US"/>
        </w:rPr>
      </w:pPr>
      <w:r>
        <w:rPr>
          <w:rFonts w:hint="eastAsia"/>
        </w:rPr>
        <w:t xml:space="preserve">RRC based BWP switching delay </w:t>
      </w:r>
      <w:r>
        <w:t>is also specified in TS 38.133 which follows t</w:t>
      </w:r>
      <w:r w:rsidRPr="00BE78B0">
        <w:rPr>
          <w:lang w:val="en-US"/>
        </w:rPr>
        <w:t>he length of the RRC procedure</w:t>
      </w:r>
      <w:r>
        <w:rPr>
          <w:lang w:val="en-US"/>
        </w:rPr>
        <w:t>:</w:t>
      </w:r>
    </w:p>
    <w:tbl>
      <w:tblPr>
        <w:tblStyle w:val="af8"/>
        <w:tblW w:w="0" w:type="auto"/>
        <w:tblLook w:val="04A0" w:firstRow="1" w:lastRow="0" w:firstColumn="1" w:lastColumn="0" w:noHBand="0" w:noVBand="1"/>
      </w:tblPr>
      <w:tblGrid>
        <w:gridCol w:w="9631"/>
      </w:tblGrid>
      <w:tr w:rsidR="00B85724" w:rsidTr="00B85724">
        <w:tc>
          <w:tcPr>
            <w:tcW w:w="9631" w:type="dxa"/>
          </w:tcPr>
          <w:p w:rsidR="00B85724" w:rsidRPr="00B85724" w:rsidRDefault="00DE26BF" w:rsidP="00B85724">
            <m:oMathPara>
              <m:oMathParaPr>
                <m:jc m:val="left"/>
              </m:oMathParaP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m:oMathPara>
          </w:p>
          <w:p w:rsidR="00B85724" w:rsidRPr="009C5807" w:rsidRDefault="00DE26BF" w:rsidP="00B85724">
            <w:pPr>
              <w:pStyle w:val="B10"/>
              <w:ind w:left="0" w:firstLine="0"/>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B85724" w:rsidRPr="009C5807">
              <w:rPr>
                <w:vertAlign w:val="subscript"/>
                <w:lang w:val="en-US" w:eastAsia="zh-CN"/>
              </w:rPr>
              <w:t xml:space="preserve"> </w:t>
            </w:r>
            <w:r w:rsidR="00B85724" w:rsidRPr="009C5807">
              <w:rPr>
                <w:lang w:val="en-US" w:eastAsia="zh-CN"/>
              </w:rPr>
              <w:t xml:space="preserve">is the length of the RRC procedure delay in </w:t>
            </w:r>
            <w:proofErr w:type="spellStart"/>
            <w:r w:rsidR="00B85724" w:rsidRPr="009C5807">
              <w:rPr>
                <w:lang w:val="en-US" w:eastAsia="zh-CN"/>
              </w:rPr>
              <w:t>ms</w:t>
            </w:r>
            <w:proofErr w:type="spellEnd"/>
            <w:r w:rsidR="00B85724" w:rsidRPr="009C5807">
              <w:rPr>
                <w:lang w:val="en-US" w:eastAsia="zh-CN"/>
              </w:rPr>
              <w:t xml:space="preserve"> as defined in clause 12 in TS 38.331 [2], and</w:t>
            </w:r>
          </w:p>
          <w:p w:rsidR="00B85724" w:rsidRPr="00B85724" w:rsidRDefault="00B85724" w:rsidP="00B85724">
            <w:pPr>
              <w:pStyle w:val="B10"/>
              <w:ind w:leftChars="-142" w:left="0"/>
              <w:jc w:val="both"/>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w:t>
            </w:r>
            <w:proofErr w:type="gramStart"/>
            <w:r w:rsidRPr="009C5807">
              <w:rPr>
                <w:lang w:val="en-US" w:eastAsia="zh-CN"/>
              </w:rPr>
              <w:t>is</w:t>
            </w:r>
            <w:proofErr w:type="gramEnd"/>
            <w:r w:rsidRPr="009C5807">
              <w:rPr>
                <w:lang w:val="en-US" w:eastAsia="zh-CN"/>
              </w:rPr>
              <w:t xml:space="preserve"> the time used by the UE to perform BWP switch. </w:t>
            </w:r>
            <w:r w:rsidRPr="00B85724">
              <w:rPr>
                <w:highlight w:val="yellow"/>
                <w:lang w:val="en-US" w:eastAsia="zh-CN"/>
              </w:rPr>
              <w:t xml:space="preserve">The UE is not required to transmit UL signals or receive DL signals during the time defined by </w:t>
            </w:r>
            <m:oMath>
              <m:sSub>
                <m:sSubPr>
                  <m:ctrlPr>
                    <w:rPr>
                      <w:rFonts w:ascii="Cambria Math" w:hAnsi="Cambria Math"/>
                      <w:i/>
                      <w:highlight w:val="yellow"/>
                      <w:lang w:val="en-US" w:eastAsia="zh-CN"/>
                    </w:rPr>
                  </m:ctrlPr>
                </m:sSubPr>
                <m:e>
                  <m:sSub>
                    <m:sSubPr>
                      <m:ctrlPr>
                        <w:rPr>
                          <w:rFonts w:ascii="Cambria Math" w:hAnsi="Cambria Math"/>
                          <w:i/>
                          <w:highlight w:val="yellow"/>
                          <w:lang w:val="en-US" w:eastAsia="zh-CN"/>
                        </w:rPr>
                      </m:ctrlPr>
                    </m:sSubPr>
                    <m:e>
                      <m:r>
                        <w:rPr>
                          <w:rFonts w:ascii="Cambria Math" w:hAnsi="Cambria Math"/>
                          <w:highlight w:val="yellow"/>
                          <w:lang w:val="en-US" w:eastAsia="zh-CN"/>
                        </w:rPr>
                        <m:t>T</m:t>
                      </m:r>
                    </m:e>
                    <m:sub>
                      <m:r>
                        <w:rPr>
                          <w:rFonts w:ascii="Cambria Math" w:hAnsi="Cambria Math"/>
                          <w:highlight w:val="yellow"/>
                          <w:lang w:val="en-US" w:eastAsia="zh-CN"/>
                        </w:rPr>
                        <m:t>RRCprocessingDelay</m:t>
                      </m:r>
                    </m:sub>
                  </m:sSub>
                  <m:r>
                    <w:rPr>
                      <w:rFonts w:ascii="Cambria Math" w:hAnsi="Cambria Math"/>
                      <w:highlight w:val="yellow"/>
                      <w:lang w:val="en-US" w:eastAsia="zh-CN"/>
                    </w:rPr>
                    <m:t>+T</m:t>
                  </m:r>
                </m:e>
                <m:sub>
                  <m:r>
                    <w:rPr>
                      <w:rFonts w:ascii="Cambria Math" w:hAnsi="Cambria Math"/>
                      <w:highlight w:val="yellow"/>
                      <w:lang w:val="en-US" w:eastAsia="zh-CN"/>
                    </w:rPr>
                    <m:t>BWPswitchDelayRRC</m:t>
                  </m:r>
                </m:sub>
              </m:sSub>
            </m:oMath>
            <w:r w:rsidRPr="00B85724">
              <w:rPr>
                <w:highlight w:val="yellow"/>
                <w:lang w:val="en-US" w:eastAsia="zh-CN"/>
              </w:rPr>
              <w:t xml:space="preserve"> on the cell where RRC-based BWP switch occurs.</w:t>
            </w:r>
          </w:p>
        </w:tc>
      </w:tr>
    </w:tbl>
    <w:p w:rsidR="00B85724" w:rsidRDefault="00B85724" w:rsidP="00C15BE6">
      <w:pPr>
        <w:rPr>
          <w:lang w:val="en-US"/>
        </w:rPr>
      </w:pPr>
    </w:p>
    <w:p w:rsidR="008D1F39" w:rsidRPr="00B85724" w:rsidRDefault="00577E5B" w:rsidP="00DE68F2">
      <w:pPr>
        <w:rPr>
          <w:lang w:val="en-US"/>
        </w:rPr>
      </w:pPr>
      <w:r>
        <w:rPr>
          <w:rFonts w:hint="eastAsia"/>
          <w:lang w:val="en-US"/>
        </w:rPr>
        <w:t>F</w:t>
      </w:r>
      <w:r>
        <w:rPr>
          <w:lang w:val="en-US"/>
        </w:rPr>
        <w:t xml:space="preserve">rom the current </w:t>
      </w:r>
      <w:r w:rsidR="00993172">
        <w:rPr>
          <w:lang w:val="en-US"/>
        </w:rPr>
        <w:t>requirement defined in TS 38.133</w:t>
      </w:r>
      <w:r>
        <w:rPr>
          <w:lang w:val="en-US"/>
        </w:rPr>
        <w:t>, the transmission interruption time</w:t>
      </w:r>
      <w:r w:rsidR="004F4761">
        <w:rPr>
          <w:lang w:val="en-US"/>
        </w:rPr>
        <w:t>(</w:t>
      </w:r>
      <w:bookmarkStart w:id="8" w:name="OLE_LINK27"/>
      <w:r w:rsidR="004F4761">
        <w:rPr>
          <w:lang w:val="en-US"/>
        </w:rPr>
        <w:t>not required to transmit or receive</w:t>
      </w:r>
      <w:bookmarkEnd w:id="8"/>
      <w:r w:rsidR="004F4761">
        <w:rPr>
          <w:lang w:val="en-US"/>
        </w:rPr>
        <w:t>)</w:t>
      </w:r>
      <w:r>
        <w:rPr>
          <w:lang w:val="en-US"/>
        </w:rPr>
        <w:t xml:space="preserve"> caused by BWP switching is </w:t>
      </w:r>
      <w:r w:rsidR="00993172">
        <w:rPr>
          <w:lang w:val="en-US"/>
        </w:rPr>
        <w:t xml:space="preserve">obviously </w:t>
      </w:r>
      <w:r>
        <w:rPr>
          <w:lang w:val="en-US"/>
        </w:rPr>
        <w:t xml:space="preserve">too long to preserve for frequent </w:t>
      </w:r>
      <w:r w:rsidR="00993172">
        <w:rPr>
          <w:lang w:val="en-US"/>
        </w:rPr>
        <w:t xml:space="preserve">BWP </w:t>
      </w:r>
      <w:r w:rsidR="00315191">
        <w:rPr>
          <w:lang w:val="en-US"/>
        </w:rPr>
        <w:t>switching</w:t>
      </w:r>
      <w:r w:rsidR="00FF2303">
        <w:rPr>
          <w:lang w:val="en-US"/>
        </w:rPr>
        <w:t xml:space="preserve"> for Redcap UEs discussed in section 2.1</w:t>
      </w:r>
      <w:r w:rsidR="00993172">
        <w:rPr>
          <w:lang w:val="en-US"/>
        </w:rPr>
        <w:t xml:space="preserve">. </w:t>
      </w:r>
      <w:r w:rsidR="00A55D4A">
        <w:rPr>
          <w:lang w:val="en-US"/>
        </w:rPr>
        <w:t>For example, the PUCCH hopping at the end sides of system bandwidth by BWP switching need to be much faster than the current BWP switching delay.</w:t>
      </w:r>
    </w:p>
    <w:p w:rsidR="00BF5918" w:rsidRDefault="00BF5918" w:rsidP="00DE68F2">
      <w:pPr>
        <w:rPr>
          <w:b/>
          <w:i/>
          <w:lang w:val="en-US"/>
        </w:rPr>
      </w:pPr>
      <w:bookmarkStart w:id="9" w:name="OLE_LINK30"/>
      <w:r>
        <w:rPr>
          <w:b/>
          <w:i/>
          <w:lang w:val="en-US"/>
        </w:rPr>
        <w:t>Observation</w:t>
      </w:r>
      <w:r w:rsidRPr="00BF5918">
        <w:rPr>
          <w:b/>
          <w:i/>
          <w:lang w:val="en-US"/>
        </w:rPr>
        <w:t xml:space="preserve"> </w:t>
      </w:r>
      <w:r w:rsidR="00541B93">
        <w:rPr>
          <w:b/>
          <w:i/>
          <w:lang w:val="en-US"/>
        </w:rPr>
        <w:t>4</w:t>
      </w:r>
      <w:r w:rsidRPr="00BF5918">
        <w:rPr>
          <w:b/>
          <w:i/>
          <w:lang w:val="en-US"/>
        </w:rPr>
        <w:t xml:space="preserve">: </w:t>
      </w:r>
      <w:r w:rsidR="002737C0">
        <w:rPr>
          <w:b/>
          <w:i/>
          <w:lang w:val="en-US"/>
        </w:rPr>
        <w:t>Current</w:t>
      </w:r>
      <w:r w:rsidR="00315191">
        <w:rPr>
          <w:b/>
          <w:i/>
          <w:lang w:val="en-US"/>
        </w:rPr>
        <w:t xml:space="preserve"> interruption time(</w:t>
      </w:r>
      <w:r w:rsidR="00315191" w:rsidRPr="00315191">
        <w:rPr>
          <w:b/>
          <w:i/>
          <w:lang w:val="en-US"/>
        </w:rPr>
        <w:t>not required to transmit or receive</w:t>
      </w:r>
      <w:r w:rsidR="00315191">
        <w:rPr>
          <w:b/>
          <w:i/>
          <w:lang w:val="en-US"/>
        </w:rPr>
        <w:t xml:space="preserve"> in the cell)</w:t>
      </w:r>
      <w:r w:rsidR="002737C0">
        <w:rPr>
          <w:b/>
          <w:i/>
          <w:lang w:val="en-US"/>
        </w:rPr>
        <w:t xml:space="preserve"> </w:t>
      </w:r>
      <w:r w:rsidR="00315191">
        <w:rPr>
          <w:b/>
          <w:i/>
          <w:lang w:val="en-US"/>
        </w:rPr>
        <w:t xml:space="preserve">of </w:t>
      </w:r>
      <w:r w:rsidR="00FF2303">
        <w:rPr>
          <w:b/>
          <w:i/>
          <w:lang w:val="en-US"/>
        </w:rPr>
        <w:t xml:space="preserve">DCI or RRC based </w:t>
      </w:r>
      <w:r w:rsidR="002737C0">
        <w:rPr>
          <w:b/>
          <w:i/>
          <w:lang w:val="en-US"/>
        </w:rPr>
        <w:t>BWP switching delay</w:t>
      </w:r>
      <w:r w:rsidR="00FF2303">
        <w:rPr>
          <w:b/>
          <w:i/>
          <w:lang w:val="en-US"/>
        </w:rPr>
        <w:t xml:space="preserve"> </w:t>
      </w:r>
      <w:r w:rsidR="00A55D4A">
        <w:rPr>
          <w:b/>
          <w:i/>
          <w:lang w:val="en-US"/>
        </w:rPr>
        <w:t xml:space="preserve">defined in TS 38.133 </w:t>
      </w:r>
      <w:r w:rsidR="002737C0">
        <w:rPr>
          <w:b/>
          <w:i/>
          <w:lang w:val="en-US"/>
        </w:rPr>
        <w:t xml:space="preserve">cannot be utilized for </w:t>
      </w:r>
      <w:r w:rsidR="00315191">
        <w:rPr>
          <w:b/>
          <w:i/>
          <w:lang w:val="en-US"/>
        </w:rPr>
        <w:t>the retuning cases for Redcap UE, e.g. PUCCH frequency hopping</w:t>
      </w:r>
      <w:r w:rsidR="002737C0">
        <w:rPr>
          <w:b/>
          <w:i/>
          <w:lang w:val="en-US"/>
        </w:rPr>
        <w:t>.</w:t>
      </w:r>
    </w:p>
    <w:bookmarkEnd w:id="9"/>
    <w:p w:rsidR="004720B2" w:rsidRDefault="00C82767" w:rsidP="00362047">
      <w:pPr>
        <w:pStyle w:val="3"/>
      </w:pPr>
      <w:r>
        <w:t xml:space="preserve">Enhanced BWP switching </w:t>
      </w:r>
      <w:r w:rsidR="00080249">
        <w:t>delay</w:t>
      </w:r>
      <w:r>
        <w:t xml:space="preserve"> for Redcap UE</w:t>
      </w:r>
    </w:p>
    <w:p w:rsidR="00362047" w:rsidRDefault="00362047" w:rsidP="00362047">
      <w:r>
        <w:t xml:space="preserve">RF retuning for </w:t>
      </w:r>
      <w:proofErr w:type="spellStart"/>
      <w:r>
        <w:t>RedCap</w:t>
      </w:r>
      <w:proofErr w:type="spellEnd"/>
      <w:r>
        <w:t xml:space="preserve"> UE due to the maximum bandwidth reduction is more</w:t>
      </w:r>
      <w:r w:rsidR="00080249">
        <w:t xml:space="preserve"> about the location change only</w:t>
      </w:r>
      <w:r w:rsidR="00080249">
        <w:rPr>
          <w:rFonts w:hint="eastAsia"/>
        </w:rPr>
        <w:t>,</w:t>
      </w:r>
      <w:r w:rsidR="00080249">
        <w:t xml:space="preserve"> </w:t>
      </w:r>
      <w:r>
        <w:t xml:space="preserve">without configuration adaptation. </w:t>
      </w:r>
      <w:r w:rsidR="00080249">
        <w:t xml:space="preserve">It means </w:t>
      </w:r>
      <w:bookmarkStart w:id="10" w:name="OLE_LINK43"/>
      <w:r w:rsidR="00080249">
        <w:t xml:space="preserve">only </w:t>
      </w:r>
      <w:proofErr w:type="spellStart"/>
      <w:r w:rsidR="00080249">
        <w:t>center</w:t>
      </w:r>
      <w:proofErr w:type="spellEnd"/>
      <w:r w:rsidR="00080249">
        <w:t xml:space="preserve"> frequency is changed, the other BWP parameter does not change</w:t>
      </w:r>
      <w:bookmarkEnd w:id="10"/>
      <w:r w:rsidR="00080249">
        <w:t>, i.e. BWP bandwidth, SCS, QCL and RRC configuration for the corresponding is the same before and after the BWP switching.</w:t>
      </w:r>
    </w:p>
    <w:p w:rsidR="00362047" w:rsidRDefault="00362047" w:rsidP="00362047">
      <w:r>
        <w:t xml:space="preserve">Thus, on top of existing BWP definition and switch procedure, we propose an </w:t>
      </w:r>
      <w:r w:rsidRPr="005D2E02">
        <w:t>extended</w:t>
      </w:r>
      <w:r>
        <w:t xml:space="preserve"> BWP operation as “BWP retuning” for </w:t>
      </w:r>
      <w:proofErr w:type="spellStart"/>
      <w:r>
        <w:t>RedCap</w:t>
      </w:r>
      <w:proofErr w:type="spellEnd"/>
      <w:r>
        <w:t xml:space="preserve"> where</w:t>
      </w:r>
    </w:p>
    <w:p w:rsidR="00362047" w:rsidRPr="00080249" w:rsidRDefault="00362047" w:rsidP="00362047">
      <w:pPr>
        <w:pStyle w:val="aff6"/>
        <w:widowControl/>
        <w:numPr>
          <w:ilvl w:val="0"/>
          <w:numId w:val="46"/>
        </w:numPr>
        <w:ind w:firstLineChars="0"/>
        <w:jc w:val="left"/>
        <w:rPr>
          <w:rFonts w:ascii="Times New Roman" w:hAnsi="Times New Roman"/>
          <w:kern w:val="0"/>
          <w:sz w:val="20"/>
          <w:szCs w:val="20"/>
          <w:lang w:val="en-GB" w:eastAsia="zh-CN"/>
        </w:rPr>
      </w:pPr>
      <w:r w:rsidRPr="00080249">
        <w:rPr>
          <w:rFonts w:ascii="Times New Roman" w:hAnsi="Times New Roman"/>
          <w:kern w:val="0"/>
          <w:sz w:val="20"/>
          <w:szCs w:val="20"/>
          <w:lang w:val="en-GB" w:eastAsia="zh-CN"/>
        </w:rPr>
        <w:t xml:space="preserve">A </w:t>
      </w:r>
      <w:proofErr w:type="spellStart"/>
      <w:r w:rsidRPr="00080249">
        <w:rPr>
          <w:rFonts w:ascii="Times New Roman" w:hAnsi="Times New Roman"/>
          <w:kern w:val="0"/>
          <w:sz w:val="20"/>
          <w:szCs w:val="20"/>
          <w:lang w:val="en-GB" w:eastAsia="zh-CN"/>
        </w:rPr>
        <w:t>RedCap</w:t>
      </w:r>
      <w:proofErr w:type="spellEnd"/>
      <w:r w:rsidRPr="00080249">
        <w:rPr>
          <w:rFonts w:ascii="Times New Roman" w:hAnsi="Times New Roman"/>
          <w:kern w:val="0"/>
          <w:sz w:val="20"/>
          <w:szCs w:val="20"/>
          <w:lang w:val="en-GB" w:eastAsia="zh-CN"/>
        </w:rPr>
        <w:t xml:space="preserve"> BWP can be configured with multiple locations (start PRB)</w:t>
      </w:r>
    </w:p>
    <w:p w:rsidR="00362047" w:rsidRPr="00080249" w:rsidRDefault="00362047" w:rsidP="00080249">
      <w:pPr>
        <w:pStyle w:val="aff6"/>
        <w:widowControl/>
        <w:numPr>
          <w:ilvl w:val="0"/>
          <w:numId w:val="46"/>
        </w:numPr>
        <w:spacing w:afterLines="50" w:after="120"/>
        <w:ind w:firstLineChars="0"/>
        <w:jc w:val="left"/>
        <w:rPr>
          <w:rFonts w:ascii="Times New Roman" w:hAnsi="Times New Roman"/>
          <w:kern w:val="0"/>
          <w:sz w:val="20"/>
          <w:szCs w:val="20"/>
          <w:lang w:val="en-GB" w:eastAsia="zh-CN"/>
        </w:rPr>
      </w:pPr>
      <w:r w:rsidRPr="00080249">
        <w:rPr>
          <w:rFonts w:ascii="Times New Roman" w:hAnsi="Times New Roman"/>
          <w:kern w:val="0"/>
          <w:sz w:val="20"/>
          <w:szCs w:val="20"/>
          <w:lang w:val="en-GB" w:eastAsia="zh-CN"/>
        </w:rPr>
        <w:t xml:space="preserve">BWP retuning occurs among different locations associated to the same </w:t>
      </w:r>
      <w:proofErr w:type="spellStart"/>
      <w:r w:rsidRPr="00080249">
        <w:rPr>
          <w:rFonts w:ascii="Times New Roman" w:hAnsi="Times New Roman"/>
          <w:kern w:val="0"/>
          <w:sz w:val="20"/>
          <w:szCs w:val="20"/>
          <w:lang w:val="en-GB" w:eastAsia="zh-CN"/>
        </w:rPr>
        <w:t>RedCap</w:t>
      </w:r>
      <w:proofErr w:type="spellEnd"/>
      <w:r w:rsidRPr="00080249">
        <w:rPr>
          <w:rFonts w:ascii="Times New Roman" w:hAnsi="Times New Roman"/>
          <w:kern w:val="0"/>
          <w:sz w:val="20"/>
          <w:szCs w:val="20"/>
          <w:lang w:val="en-GB" w:eastAsia="zh-CN"/>
        </w:rPr>
        <w:t xml:space="preserve"> BWP (index)</w:t>
      </w:r>
    </w:p>
    <w:p w:rsidR="00362047" w:rsidRDefault="00362047" w:rsidP="00362047">
      <w:r>
        <w:t xml:space="preserve">To compare with legacy BWP operation, the following </w:t>
      </w:r>
      <w:r w:rsidR="00080249">
        <w:t>figure</w:t>
      </w:r>
      <w:r>
        <w:t xml:space="preserve"> is provided.</w:t>
      </w:r>
    </w:p>
    <w:tbl>
      <w:tblPr>
        <w:tblStyle w:val="af8"/>
        <w:tblW w:w="0" w:type="auto"/>
        <w:jc w:val="center"/>
        <w:tblLook w:val="04A0" w:firstRow="1" w:lastRow="0" w:firstColumn="1" w:lastColumn="0" w:noHBand="0" w:noVBand="1"/>
      </w:tblPr>
      <w:tblGrid>
        <w:gridCol w:w="4218"/>
        <w:gridCol w:w="4386"/>
      </w:tblGrid>
      <w:tr w:rsidR="00362047" w:rsidTr="00B14635">
        <w:trPr>
          <w:jc w:val="center"/>
        </w:trPr>
        <w:tc>
          <w:tcPr>
            <w:tcW w:w="3216" w:type="dxa"/>
          </w:tcPr>
          <w:p w:rsidR="00362047" w:rsidRDefault="00362047" w:rsidP="00B14635">
            <w:pPr>
              <w:jc w:val="center"/>
            </w:pPr>
            <w:r>
              <w:rPr>
                <w:noProof/>
                <w:lang w:val="en-US"/>
              </w:rPr>
              <w:drawing>
                <wp:inline distT="0" distB="0" distL="0" distR="0" wp14:anchorId="4FF91FFC" wp14:editId="234CE6D5">
                  <wp:extent cx="2541594" cy="1976795"/>
                  <wp:effectExtent l="0" t="0" r="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50069" cy="1983387"/>
                          </a:xfrm>
                          <a:prstGeom prst="rect">
                            <a:avLst/>
                          </a:prstGeom>
                        </pic:spPr>
                      </pic:pic>
                    </a:graphicData>
                  </a:graphic>
                </wp:inline>
              </w:drawing>
            </w:r>
          </w:p>
        </w:tc>
        <w:tc>
          <w:tcPr>
            <w:tcW w:w="3442" w:type="dxa"/>
          </w:tcPr>
          <w:p w:rsidR="00362047" w:rsidRDefault="00362047" w:rsidP="00B14635">
            <w:pPr>
              <w:jc w:val="center"/>
            </w:pPr>
            <w:r>
              <w:rPr>
                <w:noProof/>
                <w:lang w:val="en-US"/>
              </w:rPr>
              <w:drawing>
                <wp:inline distT="0" distB="0" distL="0" distR="0" wp14:anchorId="58403C83" wp14:editId="335E6434">
                  <wp:extent cx="2644256" cy="200850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7092" cy="2025855"/>
                          </a:xfrm>
                          <a:prstGeom prst="rect">
                            <a:avLst/>
                          </a:prstGeom>
                        </pic:spPr>
                      </pic:pic>
                    </a:graphicData>
                  </a:graphic>
                </wp:inline>
              </w:drawing>
            </w:r>
          </w:p>
        </w:tc>
      </w:tr>
      <w:tr w:rsidR="00362047" w:rsidTr="00B14635">
        <w:trPr>
          <w:jc w:val="center"/>
        </w:trPr>
        <w:tc>
          <w:tcPr>
            <w:tcW w:w="3216" w:type="dxa"/>
          </w:tcPr>
          <w:p w:rsidR="00362047" w:rsidRPr="006118B0" w:rsidRDefault="00362047" w:rsidP="00B14635">
            <w:pPr>
              <w:jc w:val="center"/>
              <w:rPr>
                <w:b/>
              </w:rPr>
            </w:pPr>
            <w:r>
              <w:t>BWP switch</w:t>
            </w:r>
          </w:p>
        </w:tc>
        <w:tc>
          <w:tcPr>
            <w:tcW w:w="3442" w:type="dxa"/>
          </w:tcPr>
          <w:p w:rsidR="00362047" w:rsidRPr="006118B0" w:rsidRDefault="00362047" w:rsidP="00B14635">
            <w:pPr>
              <w:keepNext/>
              <w:jc w:val="center"/>
              <w:rPr>
                <w:b/>
              </w:rPr>
            </w:pPr>
            <w:proofErr w:type="spellStart"/>
            <w:r>
              <w:rPr>
                <w:rFonts w:hint="eastAsia"/>
              </w:rPr>
              <w:t>R</w:t>
            </w:r>
            <w:r>
              <w:t>edCap</w:t>
            </w:r>
            <w:proofErr w:type="spellEnd"/>
            <w:r>
              <w:t xml:space="preserve"> BWP retuning</w:t>
            </w:r>
          </w:p>
        </w:tc>
      </w:tr>
    </w:tbl>
    <w:p w:rsidR="00362047" w:rsidRPr="00362047" w:rsidRDefault="00362047" w:rsidP="00362047">
      <w:pPr>
        <w:pStyle w:val="ad"/>
        <w:jc w:val="center"/>
        <w:rPr>
          <w:b w:val="0"/>
          <w:sz w:val="18"/>
        </w:rPr>
      </w:pPr>
      <w:r w:rsidRPr="00362047">
        <w:rPr>
          <w:b w:val="0"/>
          <w:sz w:val="18"/>
        </w:rPr>
        <w:t xml:space="preserve">Fig </w:t>
      </w:r>
      <w:r w:rsidRPr="00362047">
        <w:rPr>
          <w:b w:val="0"/>
          <w:noProof/>
          <w:sz w:val="18"/>
        </w:rPr>
        <w:t>4</w:t>
      </w:r>
      <w:r w:rsidR="00A12FF5">
        <w:rPr>
          <w:b w:val="0"/>
          <w:noProof/>
          <w:sz w:val="18"/>
        </w:rPr>
        <w:t>.</w:t>
      </w:r>
      <w:r w:rsidRPr="00362047">
        <w:rPr>
          <w:b w:val="0"/>
          <w:sz w:val="18"/>
        </w:rPr>
        <w:t xml:space="preserve"> Illustration of BWP retuning</w:t>
      </w:r>
    </w:p>
    <w:p w:rsidR="003440F0" w:rsidRDefault="00080249" w:rsidP="00313D55">
      <w:r>
        <w:rPr>
          <w:rFonts w:hint="eastAsia"/>
        </w:rPr>
        <w:t>C</w:t>
      </w:r>
      <w:r>
        <w:t xml:space="preserve">onsidering </w:t>
      </w:r>
      <w:r w:rsidR="005D0E6B">
        <w:t xml:space="preserve">only BWP </w:t>
      </w:r>
      <w:proofErr w:type="spellStart"/>
      <w:r w:rsidR="005D0E6B">
        <w:t>center</w:t>
      </w:r>
      <w:proofErr w:type="spellEnd"/>
      <w:r w:rsidR="005D0E6B">
        <w:t xml:space="preserve"> frequency is changed, much smaller </w:t>
      </w:r>
      <w:r w:rsidR="004962C0">
        <w:t>interruption time</w:t>
      </w:r>
      <w:r w:rsidR="005D0E6B">
        <w:t xml:space="preserve"> could be reached</w:t>
      </w:r>
      <w:r w:rsidR="00C2558C">
        <w:t xml:space="preserve">. </w:t>
      </w:r>
      <w:r w:rsidR="004962C0">
        <w:t xml:space="preserve">Current </w:t>
      </w:r>
      <w:r w:rsidR="00A12FF5">
        <w:t xml:space="preserve">BWP </w:t>
      </w:r>
      <w:r w:rsidR="00A12FF5" w:rsidRPr="006A157D">
        <w:t>switching delay incorp</w:t>
      </w:r>
      <w:r w:rsidR="00A12FF5">
        <w:t xml:space="preserve">orates 3 parts according to Rel-15 </w:t>
      </w:r>
      <w:r w:rsidR="00A12FF5" w:rsidRPr="006A157D">
        <w:t>discussion: PDCCH processing, RF parameter calculating/loading and new RF parameter applying</w:t>
      </w:r>
      <w:r w:rsidR="00A12FF5">
        <w:t>, shown in Fig 5</w:t>
      </w:r>
      <w:r w:rsidR="00A12FF5" w:rsidRPr="006A157D">
        <w:t>.</w:t>
      </w:r>
      <w:r w:rsidR="00A12FF5">
        <w:rPr>
          <w:rFonts w:hint="eastAsia"/>
        </w:rPr>
        <w:t xml:space="preserve"> </w:t>
      </w:r>
      <w:r w:rsidR="00A12FF5">
        <w:t xml:space="preserve">For DCI based BWP </w:t>
      </w:r>
      <w:r w:rsidR="004962C0">
        <w:t>retuning</w:t>
      </w:r>
      <w:r w:rsidR="00A12FF5">
        <w:t xml:space="preserve">, PDCCH processing and BB parameter calculating and loading in the modem could be largely simplified. For RF parameter (i.e. </w:t>
      </w:r>
      <w:proofErr w:type="spellStart"/>
      <w:r w:rsidR="00A12FF5">
        <w:t>center</w:t>
      </w:r>
      <w:proofErr w:type="spellEnd"/>
      <w:r w:rsidR="00A12FF5">
        <w:t xml:space="preserve"> frequency) loading and applying, 140us can be assumed considering it is mainly from PLL retuning. </w:t>
      </w:r>
    </w:p>
    <w:p w:rsidR="00807E62" w:rsidRDefault="00A12FF5" w:rsidP="00A12FF5">
      <w:pPr>
        <w:spacing w:after="120"/>
      </w:pPr>
      <w:r>
        <w:rPr>
          <w:noProof/>
          <w:lang w:val="en-US"/>
        </w:rPr>
        <w:drawing>
          <wp:inline distT="0" distB="0" distL="0" distR="0" wp14:anchorId="57534544" wp14:editId="30952C2D">
            <wp:extent cx="6120357" cy="964889"/>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46326"/>
                    <a:stretch/>
                  </pic:blipFill>
                  <pic:spPr bwMode="auto">
                    <a:xfrm>
                      <a:off x="0" y="0"/>
                      <a:ext cx="6122035" cy="965154"/>
                    </a:xfrm>
                    <a:prstGeom prst="rect">
                      <a:avLst/>
                    </a:prstGeom>
                    <a:noFill/>
                    <a:ln>
                      <a:noFill/>
                    </a:ln>
                    <a:extLst>
                      <a:ext uri="{53640926-AAD7-44D8-BBD7-CCE9431645EC}">
                        <a14:shadowObscured xmlns:a14="http://schemas.microsoft.com/office/drawing/2010/main"/>
                      </a:ext>
                    </a:extLst>
                  </pic:spPr>
                </pic:pic>
              </a:graphicData>
            </a:graphic>
          </wp:inline>
        </w:drawing>
      </w:r>
    </w:p>
    <w:p w:rsidR="00807E62" w:rsidRPr="00A12FF5" w:rsidRDefault="00A12FF5" w:rsidP="00A12FF5">
      <w:pPr>
        <w:jc w:val="center"/>
      </w:pPr>
      <w:r w:rsidRPr="00A12FF5">
        <w:rPr>
          <w:sz w:val="18"/>
        </w:rPr>
        <w:t xml:space="preserve">Fig </w:t>
      </w:r>
      <w:r w:rsidRPr="00A12FF5">
        <w:rPr>
          <w:noProof/>
          <w:sz w:val="18"/>
        </w:rPr>
        <w:t>5.</w:t>
      </w:r>
    </w:p>
    <w:p w:rsidR="004720B2" w:rsidRDefault="00A12FF5" w:rsidP="00313D55">
      <w:pPr>
        <w:rPr>
          <w:lang w:val="en-US"/>
        </w:rPr>
      </w:pPr>
      <w:r>
        <w:rPr>
          <w:rFonts w:hint="eastAsia"/>
          <w:lang w:val="en-US"/>
        </w:rPr>
        <w:t>F</w:t>
      </w:r>
      <w:r>
        <w:rPr>
          <w:lang w:val="en-US"/>
        </w:rPr>
        <w:t xml:space="preserve">or RRC based BWP switching, shorter switching delay can be reached by preconfigured switching pattern/command. Thus 140us </w:t>
      </w:r>
      <w:r w:rsidR="004962C0">
        <w:rPr>
          <w:lang w:val="en-US"/>
        </w:rPr>
        <w:t xml:space="preserve">interruption </w:t>
      </w:r>
      <w:r>
        <w:rPr>
          <w:lang w:val="en-US"/>
        </w:rPr>
        <w:t>can be also assumed for RRC based BWP switching.</w:t>
      </w:r>
    </w:p>
    <w:p w:rsidR="00F574AC" w:rsidRDefault="00F574AC" w:rsidP="00313D55">
      <w:pPr>
        <w:rPr>
          <w:lang w:val="en-US"/>
        </w:rPr>
      </w:pPr>
      <w:r>
        <w:rPr>
          <w:lang w:val="en-US"/>
        </w:rPr>
        <w:t xml:space="preserve">In summary, the BWP retuning for Redcap UE is </w:t>
      </w:r>
      <w:r w:rsidR="00774F15">
        <w:rPr>
          <w:lang w:val="en-US"/>
        </w:rPr>
        <w:t>only related to center frequency change, t</w:t>
      </w:r>
      <w:r w:rsidR="000F162F">
        <w:rPr>
          <w:lang w:val="en-US"/>
        </w:rPr>
        <w:t>here is no BB parameter</w:t>
      </w:r>
      <w:r w:rsidR="000F162F">
        <w:rPr>
          <w:rFonts w:hint="eastAsia"/>
          <w:lang w:val="en-US"/>
        </w:rPr>
        <w:t>/</w:t>
      </w:r>
      <w:r w:rsidR="000F162F">
        <w:rPr>
          <w:lang w:val="en-US"/>
        </w:rPr>
        <w:t>configuration changed, and retuning c</w:t>
      </w:r>
      <w:r w:rsidR="001F2E55">
        <w:rPr>
          <w:lang w:val="en-US"/>
        </w:rPr>
        <w:t>ould</w:t>
      </w:r>
      <w:r w:rsidR="000F162F">
        <w:rPr>
          <w:lang w:val="en-US"/>
        </w:rPr>
        <w:t xml:space="preserve"> be preconfigured and triggered by L1</w:t>
      </w:r>
      <w:r w:rsidR="002F09EA">
        <w:rPr>
          <w:lang w:val="en-US"/>
        </w:rPr>
        <w:t xml:space="preserve"> or </w:t>
      </w:r>
      <w:r w:rsidR="000F162F">
        <w:rPr>
          <w:lang w:val="en-US"/>
        </w:rPr>
        <w:t>L2</w:t>
      </w:r>
      <w:r w:rsidR="002F09EA">
        <w:rPr>
          <w:lang w:val="en-US"/>
        </w:rPr>
        <w:t xml:space="preserve"> or</w:t>
      </w:r>
      <w:r w:rsidR="000F162F">
        <w:rPr>
          <w:lang w:val="en-US"/>
        </w:rPr>
        <w:t>L3 command</w:t>
      </w:r>
      <w:r w:rsidR="002F09EA">
        <w:rPr>
          <w:lang w:val="en-US"/>
        </w:rPr>
        <w:t>(up to RAN1 decision)</w:t>
      </w:r>
      <w:r w:rsidR="000F162F">
        <w:rPr>
          <w:lang w:val="en-US"/>
        </w:rPr>
        <w:t>. Considering maximum Redcap UE bandwidth is 20MHz for FR1 and 100MHz for FR2, the retuning range is up to 80MHz for FR1, and 300MHz for FR2. 140us time is enough for the retuning range.</w:t>
      </w:r>
    </w:p>
    <w:p w:rsidR="004962C0" w:rsidRDefault="004962C0" w:rsidP="00313D55">
      <w:pPr>
        <w:rPr>
          <w:lang w:val="en-US"/>
        </w:rPr>
      </w:pPr>
      <w:r>
        <w:rPr>
          <w:lang w:val="en-US"/>
        </w:rPr>
        <w:t xml:space="preserve">Hence, we propose to introduce new BWP retuning delay requirement for Redcap UE. </w:t>
      </w:r>
      <w:bookmarkStart w:id="11" w:name="OLE_LINK24"/>
      <w:r>
        <w:rPr>
          <w:lang w:val="en-US"/>
        </w:rPr>
        <w:t xml:space="preserve">The BWP retuning </w:t>
      </w:r>
      <w:r w:rsidR="00774F15">
        <w:rPr>
          <w:lang w:val="en-US"/>
        </w:rPr>
        <w:t xml:space="preserve">schedule </w:t>
      </w:r>
      <w:r>
        <w:rPr>
          <w:lang w:val="en-US"/>
        </w:rPr>
        <w:t xml:space="preserve">delay follows current BWP switching delay defined in TS 38.133, </w:t>
      </w:r>
      <w:bookmarkStart w:id="12" w:name="OLE_LINK25"/>
      <w:r>
        <w:rPr>
          <w:lang w:val="en-US"/>
        </w:rPr>
        <w:t>type1 or type2 is up to UE capability reporting</w:t>
      </w:r>
      <w:bookmarkEnd w:id="12"/>
      <w:r>
        <w:rPr>
          <w:lang w:val="en-US"/>
        </w:rPr>
        <w:t>. However, considering on center frequency is changed, the UE is not required to transmit or receive signals with a time duration of 140us.</w:t>
      </w:r>
      <w:bookmarkEnd w:id="11"/>
    </w:p>
    <w:p w:rsidR="00FF052E" w:rsidRDefault="00A12FF5" w:rsidP="00313D55">
      <w:pPr>
        <w:rPr>
          <w:b/>
          <w:i/>
        </w:rPr>
      </w:pPr>
      <w:bookmarkStart w:id="13" w:name="OLE_LINK44"/>
      <w:r>
        <w:rPr>
          <w:b/>
          <w:i/>
        </w:rPr>
        <w:t xml:space="preserve">Proposal </w:t>
      </w:r>
      <w:r w:rsidR="00A83BC8">
        <w:rPr>
          <w:b/>
          <w:i/>
        </w:rPr>
        <w:t>3</w:t>
      </w:r>
      <w:r>
        <w:rPr>
          <w:b/>
          <w:i/>
        </w:rPr>
        <w:t xml:space="preserve">: Introduce new BWP </w:t>
      </w:r>
      <w:r w:rsidR="000F162F">
        <w:rPr>
          <w:b/>
          <w:i/>
        </w:rPr>
        <w:t>retuning</w:t>
      </w:r>
      <w:r>
        <w:rPr>
          <w:b/>
          <w:i/>
        </w:rPr>
        <w:t xml:space="preserve"> delay requirement for Redcap UE applying for cases</w:t>
      </w:r>
      <w:r w:rsidR="00C87AD6">
        <w:rPr>
          <w:b/>
          <w:i/>
        </w:rPr>
        <w:t xml:space="preserve"> that </w:t>
      </w:r>
      <w:r w:rsidR="00C87AD6" w:rsidRPr="00C87AD6">
        <w:rPr>
          <w:b/>
          <w:i/>
        </w:rPr>
        <w:t xml:space="preserve">only BWP </w:t>
      </w:r>
      <w:proofErr w:type="spellStart"/>
      <w:r w:rsidR="00C87AD6" w:rsidRPr="00C87AD6">
        <w:rPr>
          <w:b/>
          <w:i/>
        </w:rPr>
        <w:t>center</w:t>
      </w:r>
      <w:proofErr w:type="spellEnd"/>
      <w:r w:rsidR="00C87AD6" w:rsidRPr="00C87AD6">
        <w:rPr>
          <w:b/>
          <w:i/>
        </w:rPr>
        <w:t xml:space="preserve"> frequency is changed, the other BWP parameters does not change</w:t>
      </w:r>
      <w:r>
        <w:rPr>
          <w:b/>
          <w:i/>
        </w:rPr>
        <w:t xml:space="preserve">. </w:t>
      </w:r>
      <w:r w:rsidR="004962C0" w:rsidRPr="004962C0">
        <w:rPr>
          <w:b/>
          <w:i/>
        </w:rPr>
        <w:t xml:space="preserve">The </w:t>
      </w:r>
      <w:r w:rsidR="00597881">
        <w:rPr>
          <w:b/>
          <w:i/>
        </w:rPr>
        <w:t xml:space="preserve">new </w:t>
      </w:r>
      <w:r w:rsidR="004962C0" w:rsidRPr="004962C0">
        <w:rPr>
          <w:b/>
          <w:i/>
        </w:rPr>
        <w:t xml:space="preserve">BWP retuning </w:t>
      </w:r>
      <w:r w:rsidR="00774F15">
        <w:rPr>
          <w:b/>
          <w:i/>
        </w:rPr>
        <w:t xml:space="preserve">schedule </w:t>
      </w:r>
      <w:r w:rsidR="004962C0" w:rsidRPr="004962C0">
        <w:rPr>
          <w:b/>
          <w:i/>
        </w:rPr>
        <w:t>delay follows current BWP switching delay defined in TS 38.133</w:t>
      </w:r>
      <w:r w:rsidR="00C65DFC">
        <w:rPr>
          <w:b/>
          <w:i/>
        </w:rPr>
        <w:t xml:space="preserve">, i.e. </w:t>
      </w:r>
      <w:r w:rsidR="00C65DFC" w:rsidRPr="00C65DFC">
        <w:rPr>
          <w:b/>
          <w:i/>
          <w:lang w:val="en-US"/>
        </w:rPr>
        <w:t>type1 or type2 is up to UE capability reporting</w:t>
      </w:r>
      <w:r w:rsidR="004962C0" w:rsidRPr="004962C0">
        <w:rPr>
          <w:b/>
          <w:i/>
        </w:rPr>
        <w:t xml:space="preserve">. </w:t>
      </w:r>
      <w:r w:rsidR="004962C0">
        <w:rPr>
          <w:b/>
          <w:i/>
        </w:rPr>
        <w:t>T</w:t>
      </w:r>
      <w:r w:rsidR="004962C0" w:rsidRPr="004962C0">
        <w:rPr>
          <w:b/>
          <w:i/>
        </w:rPr>
        <w:t>he UE is not required to transmit or receive signals with a time duration of 140us.</w:t>
      </w:r>
      <w:bookmarkStart w:id="14" w:name="OLE_LINK31"/>
    </w:p>
    <w:p w:rsidR="00394593" w:rsidRPr="004720B2" w:rsidRDefault="00394593" w:rsidP="00313D55">
      <w:pPr>
        <w:rPr>
          <w:lang w:val="en-US"/>
        </w:rPr>
      </w:pPr>
      <w:r>
        <w:rPr>
          <w:b/>
          <w:i/>
        </w:rPr>
        <w:t xml:space="preserve">Proposal </w:t>
      </w:r>
      <w:r w:rsidR="00A83BC8">
        <w:rPr>
          <w:b/>
          <w:i/>
        </w:rPr>
        <w:t>4</w:t>
      </w:r>
      <w:r>
        <w:rPr>
          <w:b/>
          <w:i/>
        </w:rPr>
        <w:t xml:space="preserve">: Send LS to RAN1 to inform them the new BWP </w:t>
      </w:r>
      <w:r w:rsidR="001540AA">
        <w:rPr>
          <w:b/>
          <w:i/>
        </w:rPr>
        <w:t>retuning</w:t>
      </w:r>
      <w:r>
        <w:rPr>
          <w:b/>
          <w:i/>
        </w:rPr>
        <w:t xml:space="preserve"> delay requirement for Redcap UE, the specific use case applied with the new requirement is up to RAN1.</w:t>
      </w:r>
    </w:p>
    <w:bookmarkEnd w:id="4"/>
    <w:bookmarkEnd w:id="13"/>
    <w:bookmarkEnd w:id="14"/>
    <w:p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rsidR="00671A68" w:rsidRDefault="00814EDE" w:rsidP="00671A68">
      <w:pPr>
        <w:rPr>
          <w:b/>
          <w:i/>
          <w:lang w:val="en-US"/>
        </w:rPr>
      </w:pPr>
      <w:r w:rsidRPr="00086BFD">
        <w:t>In this contribution we discussed</w:t>
      </w:r>
      <w:r w:rsidR="00A72EC6">
        <w:rPr>
          <w:rFonts w:hint="eastAsia"/>
        </w:rPr>
        <w:t xml:space="preserve"> </w:t>
      </w:r>
      <w:r w:rsidR="00A72EC6" w:rsidRPr="00086BFD">
        <w:t>on the</w:t>
      </w:r>
      <w:r w:rsidR="00C23D9A">
        <w:t xml:space="preserve"> </w:t>
      </w:r>
      <w:r w:rsidR="00A12FF5">
        <w:t>BWP switching delay for Redcap UE</w:t>
      </w:r>
      <w:r w:rsidR="00A72EC6" w:rsidRPr="00086BFD">
        <w:t>, according to the analysis, we have the following proposal</w:t>
      </w:r>
      <w:r w:rsidR="00A72EC6">
        <w:rPr>
          <w:rFonts w:hint="eastAsia"/>
        </w:rPr>
        <w:t>s</w:t>
      </w:r>
      <w:r w:rsidRPr="00086BFD">
        <w:t>:</w:t>
      </w:r>
      <w:r w:rsidR="00671A68" w:rsidRPr="00671A68">
        <w:rPr>
          <w:rFonts w:hint="eastAsia"/>
          <w:b/>
          <w:i/>
          <w:lang w:val="en-US"/>
        </w:rPr>
        <w:t xml:space="preserve"> </w:t>
      </w:r>
    </w:p>
    <w:p w:rsidR="00541B93" w:rsidRDefault="00541B93" w:rsidP="00541B93">
      <w:pPr>
        <w:rPr>
          <w:b/>
          <w:i/>
        </w:rPr>
      </w:pPr>
      <w:r w:rsidRPr="002772BC">
        <w:rPr>
          <w:b/>
          <w:i/>
        </w:rPr>
        <w:t xml:space="preserve">Observation 1: </w:t>
      </w:r>
      <w:r>
        <w:rPr>
          <w:b/>
          <w:i/>
        </w:rPr>
        <w:t>significant transmission power back off is introduced by resource fragment with PUCCH configured in-between PUSCH when UE supports almost contiguous allocation capability; while UE only supports contiguous allocation, part of RB resources can be utilized will have big impact on UL performance.</w:t>
      </w:r>
    </w:p>
    <w:p w:rsidR="00541B93" w:rsidRDefault="00541B93" w:rsidP="00541B93">
      <w:pPr>
        <w:rPr>
          <w:b/>
          <w:i/>
        </w:rPr>
      </w:pPr>
      <w:r>
        <w:rPr>
          <w:b/>
          <w:i/>
        </w:rPr>
        <w:t xml:space="preserve">Observation 2: </w:t>
      </w:r>
      <w:r w:rsidRPr="00AA7467">
        <w:rPr>
          <w:b/>
          <w:i/>
        </w:rPr>
        <w:t xml:space="preserve">Network shall be able to configure PUCCH resources at the end sides of the wide carrier bandwidth for </w:t>
      </w:r>
      <w:proofErr w:type="spellStart"/>
      <w:r w:rsidRPr="00AA7467">
        <w:rPr>
          <w:b/>
          <w:i/>
        </w:rPr>
        <w:t>RedCap</w:t>
      </w:r>
      <w:proofErr w:type="spellEnd"/>
      <w:r>
        <w:rPr>
          <w:b/>
          <w:i/>
        </w:rPr>
        <w:t xml:space="preserve"> UE</w:t>
      </w:r>
      <w:r w:rsidRPr="00AA7467">
        <w:rPr>
          <w:b/>
          <w:i/>
        </w:rPr>
        <w:t>, to avoid introducing uplink PUSCH resource fragment.</w:t>
      </w:r>
    </w:p>
    <w:p w:rsidR="00541B93" w:rsidRPr="00541B93" w:rsidRDefault="00541B93" w:rsidP="00541B93">
      <w:pPr>
        <w:rPr>
          <w:b/>
          <w:i/>
        </w:rPr>
      </w:pPr>
      <w:r w:rsidRPr="00541B93">
        <w:rPr>
          <w:b/>
          <w:i/>
        </w:rPr>
        <w:t>Observation 3: Frequency hopping across larger BW (e.g., 100MHz) is beneficial in terms of diversity gain or frequency selective scheduling gain.</w:t>
      </w:r>
    </w:p>
    <w:p w:rsidR="00541B93" w:rsidRPr="002772BC" w:rsidRDefault="00541B93" w:rsidP="00541B93">
      <w:pPr>
        <w:rPr>
          <w:b/>
          <w:i/>
        </w:rPr>
      </w:pPr>
      <w:r>
        <w:rPr>
          <w:b/>
          <w:i/>
        </w:rPr>
        <w:t xml:space="preserve">Proposal 1: </w:t>
      </w:r>
      <w:proofErr w:type="spellStart"/>
      <w:r>
        <w:rPr>
          <w:b/>
          <w:i/>
        </w:rPr>
        <w:t>RedCap</w:t>
      </w:r>
      <w:proofErr w:type="spellEnd"/>
      <w:r>
        <w:rPr>
          <w:b/>
          <w:i/>
        </w:rPr>
        <w:t xml:space="preserve"> UE should support </w:t>
      </w:r>
      <w:proofErr w:type="spellStart"/>
      <w:r>
        <w:rPr>
          <w:b/>
          <w:i/>
        </w:rPr>
        <w:t>center</w:t>
      </w:r>
      <w:proofErr w:type="spellEnd"/>
      <w:r>
        <w:rPr>
          <w:b/>
          <w:i/>
        </w:rPr>
        <w:t xml:space="preserve"> frequency change/RF retuning across a bandwidth larger than its maximum UE bandwidth</w:t>
      </w:r>
      <w:r>
        <w:rPr>
          <w:rFonts w:hint="eastAsia"/>
          <w:b/>
          <w:i/>
        </w:rPr>
        <w:t>.</w:t>
      </w:r>
      <w:r>
        <w:rPr>
          <w:b/>
          <w:i/>
        </w:rPr>
        <w:t xml:space="preserve"> BWP switching framework is utilized for RF retuning across a wide bandwidth for Redcap UE. </w:t>
      </w:r>
    </w:p>
    <w:p w:rsidR="006A1DEC" w:rsidRDefault="006A1DEC" w:rsidP="006A1DEC">
      <w:pPr>
        <w:rPr>
          <w:b/>
          <w:i/>
          <w:lang w:val="en-US"/>
        </w:rPr>
      </w:pPr>
      <w:r>
        <w:rPr>
          <w:b/>
          <w:i/>
          <w:lang w:val="en-US"/>
        </w:rPr>
        <w:t>Observation 4: Current interruption time(not required to transmit or receive in the cell) of DCI or RRC based BWP switching delay defined in TS 38.133 cannot be utilized for the retuning cases for Redcap UE, e.g. PUCCH frequency hopping.</w:t>
      </w:r>
    </w:p>
    <w:p w:rsidR="00A83BC8" w:rsidRPr="00A83BC8" w:rsidRDefault="00A83BC8" w:rsidP="00A83BC8">
      <w:pPr>
        <w:rPr>
          <w:b/>
          <w:i/>
        </w:rPr>
      </w:pPr>
      <w:r w:rsidRPr="00A83BC8">
        <w:rPr>
          <w:b/>
          <w:i/>
        </w:rPr>
        <w:t xml:space="preserve">Proposal 1: </w:t>
      </w:r>
      <w:proofErr w:type="spellStart"/>
      <w:r w:rsidRPr="00A83BC8">
        <w:rPr>
          <w:b/>
          <w:i/>
        </w:rPr>
        <w:t>RedCap</w:t>
      </w:r>
      <w:proofErr w:type="spellEnd"/>
      <w:r w:rsidRPr="00A83BC8">
        <w:rPr>
          <w:b/>
          <w:i/>
        </w:rPr>
        <w:t xml:space="preserve"> UE should support </w:t>
      </w:r>
      <w:proofErr w:type="spellStart"/>
      <w:r w:rsidRPr="00A83BC8">
        <w:rPr>
          <w:b/>
          <w:i/>
        </w:rPr>
        <w:t>center</w:t>
      </w:r>
      <w:proofErr w:type="spellEnd"/>
      <w:r w:rsidRPr="00A83BC8">
        <w:rPr>
          <w:b/>
          <w:i/>
        </w:rPr>
        <w:t xml:space="preserve"> frequency change/RF retuning across a bandwidth larger than its maximum UE bandwidth. </w:t>
      </w:r>
    </w:p>
    <w:p w:rsidR="00DA6A84" w:rsidRDefault="00DA6A84" w:rsidP="00DA6A84">
      <w:pPr>
        <w:rPr>
          <w:b/>
          <w:i/>
        </w:rPr>
      </w:pPr>
      <w:r>
        <w:rPr>
          <w:b/>
          <w:i/>
        </w:rPr>
        <w:t>Proposal 2: BWP framework can be utilized for Redcap UE for the scenario that UE only performs RF retuning across a bandwidth wider than UE maximum bandwidth without change BWP specific parameters.</w:t>
      </w:r>
    </w:p>
    <w:p w:rsidR="00DA6A84" w:rsidRDefault="00DA6A84" w:rsidP="00DA6A84">
      <w:pPr>
        <w:rPr>
          <w:b/>
          <w:i/>
        </w:rPr>
      </w:pPr>
      <w:r>
        <w:rPr>
          <w:b/>
          <w:i/>
        </w:rPr>
        <w:t xml:space="preserve">Proposal 3: Introduce new BWP retuning delay requirement for Redcap UE applying for cases that only BWP </w:t>
      </w:r>
      <w:proofErr w:type="spellStart"/>
      <w:r>
        <w:rPr>
          <w:b/>
          <w:i/>
        </w:rPr>
        <w:t>center</w:t>
      </w:r>
      <w:proofErr w:type="spellEnd"/>
      <w:r>
        <w:rPr>
          <w:b/>
          <w:i/>
        </w:rPr>
        <w:t xml:space="preserve"> frequency is changed, the other BWP parameters does not change. The new BWP retuning schedule delay follows current BWP switching delay defined in TS 38.133, i.e. </w:t>
      </w:r>
      <w:r>
        <w:rPr>
          <w:b/>
          <w:i/>
          <w:lang w:val="en-US"/>
        </w:rPr>
        <w:t>type1 or type2 is up to UE capability reporting</w:t>
      </w:r>
      <w:r>
        <w:rPr>
          <w:b/>
          <w:i/>
        </w:rPr>
        <w:t>. The UE is not required to transmit or receive signals with a time duration of 140us.</w:t>
      </w:r>
    </w:p>
    <w:p w:rsidR="00315191" w:rsidRPr="000C3D2E" w:rsidRDefault="000C3D2E" w:rsidP="00315191">
      <w:pPr>
        <w:rPr>
          <w:lang w:val="en-US"/>
        </w:rPr>
      </w:pPr>
      <w:r>
        <w:rPr>
          <w:b/>
          <w:i/>
        </w:rPr>
        <w:t>Proposal 4: Send LS to RAN1 to inform them the new BWP retuning delay requirement for Redcap UE, the specific use case applied with the new requirement is up to RAN1.</w:t>
      </w:r>
    </w:p>
    <w:p w:rsidR="00B22DA6" w:rsidRDefault="00B22DA6" w:rsidP="00B22DA6">
      <w:pPr>
        <w:pStyle w:val="1"/>
        <w:numPr>
          <w:ilvl w:val="0"/>
          <w:numId w:val="0"/>
        </w:numPr>
        <w:rPr>
          <w:rFonts w:ascii="Times New Roman" w:hAnsi="Times New Roman"/>
        </w:rPr>
      </w:pPr>
      <w:r w:rsidRPr="00086BFD">
        <w:rPr>
          <w:rFonts w:ascii="Times New Roman" w:hAnsi="Times New Roman"/>
        </w:rPr>
        <w:t>References</w:t>
      </w:r>
    </w:p>
    <w:p w:rsidR="00060107" w:rsidRDefault="00060107" w:rsidP="00060107">
      <w:r>
        <w:rPr>
          <w:rFonts w:hint="eastAsia"/>
        </w:rPr>
        <w:t>[</w:t>
      </w:r>
      <w:r>
        <w:t xml:space="preserve">1] </w:t>
      </w:r>
      <w:r w:rsidRPr="00060107">
        <w:t>RP-210918, Revised WID on support of reduced capability NR devices, Nokia, Ericsson</w:t>
      </w:r>
    </w:p>
    <w:p w:rsidR="00060107" w:rsidRDefault="00060107" w:rsidP="00060107">
      <w:r>
        <w:t xml:space="preserve">[2] R4-1706828, </w:t>
      </w:r>
      <w:r w:rsidRPr="00060107">
        <w:t>Views on UL non-contiguous allocation</w:t>
      </w:r>
      <w:r>
        <w:t>, DOCOMO</w:t>
      </w:r>
    </w:p>
    <w:p w:rsidR="00060107" w:rsidRPr="00060107" w:rsidRDefault="00060107" w:rsidP="00060107">
      <w:r>
        <w:t xml:space="preserve">[3] R1-2104283, </w:t>
      </w:r>
      <w:r w:rsidRPr="00060107">
        <w:t xml:space="preserve">Discussion on reduced maximum UE bandwidth for </w:t>
      </w:r>
      <w:proofErr w:type="spellStart"/>
      <w:r w:rsidRPr="00060107">
        <w:t>RedCap</w:t>
      </w:r>
      <w:proofErr w:type="spellEnd"/>
      <w:r>
        <w:t>, Huawei, HiSilicon</w:t>
      </w:r>
    </w:p>
    <w:sectPr w:rsidR="00060107" w:rsidRPr="00060107" w:rsidSect="00AD2E43">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9DB" w:rsidRDefault="00F509DB" w:rsidP="0052762B">
      <w:r>
        <w:separator/>
      </w:r>
    </w:p>
  </w:endnote>
  <w:endnote w:type="continuationSeparator" w:id="0">
    <w:p w:rsidR="00F509DB" w:rsidRDefault="00F509D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C12" w:rsidRDefault="007E6C1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9DB" w:rsidRDefault="00F509DB" w:rsidP="0052762B">
      <w:r>
        <w:separator/>
      </w:r>
    </w:p>
  </w:footnote>
  <w:footnote w:type="continuationSeparator" w:id="0">
    <w:p w:rsidR="00F509DB" w:rsidRDefault="00F509D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D782F"/>
    <w:multiLevelType w:val="hybridMultilevel"/>
    <w:tmpl w:val="0076E9A6"/>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427243"/>
    <w:multiLevelType w:val="hybridMultilevel"/>
    <w:tmpl w:val="AE629C1A"/>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372A73"/>
    <w:multiLevelType w:val="hybridMultilevel"/>
    <w:tmpl w:val="60DE80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E2181"/>
    <w:multiLevelType w:val="hybridMultilevel"/>
    <w:tmpl w:val="1ED659B0"/>
    <w:lvl w:ilvl="0" w:tplc="4D9CBE8C">
      <w:start w:val="1"/>
      <w:numFmt w:val="bullet"/>
      <w:lvlText w:val="•"/>
      <w:lvlJc w:val="left"/>
      <w:pPr>
        <w:tabs>
          <w:tab w:val="num" w:pos="720"/>
        </w:tabs>
        <w:ind w:left="720" w:hanging="360"/>
      </w:pPr>
      <w:rPr>
        <w:rFonts w:ascii="Arial" w:hAnsi="Arial" w:hint="default"/>
      </w:rPr>
    </w:lvl>
    <w:lvl w:ilvl="1" w:tplc="748A50A0" w:tentative="1">
      <w:start w:val="1"/>
      <w:numFmt w:val="bullet"/>
      <w:lvlText w:val="•"/>
      <w:lvlJc w:val="left"/>
      <w:pPr>
        <w:tabs>
          <w:tab w:val="num" w:pos="1440"/>
        </w:tabs>
        <w:ind w:left="1440" w:hanging="360"/>
      </w:pPr>
      <w:rPr>
        <w:rFonts w:ascii="Arial" w:hAnsi="Arial" w:hint="default"/>
      </w:rPr>
    </w:lvl>
    <w:lvl w:ilvl="2" w:tplc="6B840882" w:tentative="1">
      <w:start w:val="1"/>
      <w:numFmt w:val="bullet"/>
      <w:lvlText w:val="•"/>
      <w:lvlJc w:val="left"/>
      <w:pPr>
        <w:tabs>
          <w:tab w:val="num" w:pos="2160"/>
        </w:tabs>
        <w:ind w:left="2160" w:hanging="360"/>
      </w:pPr>
      <w:rPr>
        <w:rFonts w:ascii="Arial" w:hAnsi="Arial" w:hint="default"/>
      </w:rPr>
    </w:lvl>
    <w:lvl w:ilvl="3" w:tplc="C13CC25E" w:tentative="1">
      <w:start w:val="1"/>
      <w:numFmt w:val="bullet"/>
      <w:lvlText w:val="•"/>
      <w:lvlJc w:val="left"/>
      <w:pPr>
        <w:tabs>
          <w:tab w:val="num" w:pos="2880"/>
        </w:tabs>
        <w:ind w:left="2880" w:hanging="360"/>
      </w:pPr>
      <w:rPr>
        <w:rFonts w:ascii="Arial" w:hAnsi="Arial" w:hint="default"/>
      </w:rPr>
    </w:lvl>
    <w:lvl w:ilvl="4" w:tplc="16E4A740" w:tentative="1">
      <w:start w:val="1"/>
      <w:numFmt w:val="bullet"/>
      <w:lvlText w:val="•"/>
      <w:lvlJc w:val="left"/>
      <w:pPr>
        <w:tabs>
          <w:tab w:val="num" w:pos="3600"/>
        </w:tabs>
        <w:ind w:left="3600" w:hanging="360"/>
      </w:pPr>
      <w:rPr>
        <w:rFonts w:ascii="Arial" w:hAnsi="Arial" w:hint="default"/>
      </w:rPr>
    </w:lvl>
    <w:lvl w:ilvl="5" w:tplc="E2C64364" w:tentative="1">
      <w:start w:val="1"/>
      <w:numFmt w:val="bullet"/>
      <w:lvlText w:val="•"/>
      <w:lvlJc w:val="left"/>
      <w:pPr>
        <w:tabs>
          <w:tab w:val="num" w:pos="4320"/>
        </w:tabs>
        <w:ind w:left="4320" w:hanging="360"/>
      </w:pPr>
      <w:rPr>
        <w:rFonts w:ascii="Arial" w:hAnsi="Arial" w:hint="default"/>
      </w:rPr>
    </w:lvl>
    <w:lvl w:ilvl="6" w:tplc="A6266D96" w:tentative="1">
      <w:start w:val="1"/>
      <w:numFmt w:val="bullet"/>
      <w:lvlText w:val="•"/>
      <w:lvlJc w:val="left"/>
      <w:pPr>
        <w:tabs>
          <w:tab w:val="num" w:pos="5040"/>
        </w:tabs>
        <w:ind w:left="5040" w:hanging="360"/>
      </w:pPr>
      <w:rPr>
        <w:rFonts w:ascii="Arial" w:hAnsi="Arial" w:hint="default"/>
      </w:rPr>
    </w:lvl>
    <w:lvl w:ilvl="7" w:tplc="9E186816" w:tentative="1">
      <w:start w:val="1"/>
      <w:numFmt w:val="bullet"/>
      <w:lvlText w:val="•"/>
      <w:lvlJc w:val="left"/>
      <w:pPr>
        <w:tabs>
          <w:tab w:val="num" w:pos="5760"/>
        </w:tabs>
        <w:ind w:left="5760" w:hanging="360"/>
      </w:pPr>
      <w:rPr>
        <w:rFonts w:ascii="Arial" w:hAnsi="Arial" w:hint="default"/>
      </w:rPr>
    </w:lvl>
    <w:lvl w:ilvl="8" w:tplc="B136F5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14637F"/>
    <w:multiLevelType w:val="hybridMultilevel"/>
    <w:tmpl w:val="A9187D8A"/>
    <w:lvl w:ilvl="0" w:tplc="920E8EB8">
      <w:start w:val="1"/>
      <w:numFmt w:val="bullet"/>
      <w:lvlText w:val=""/>
      <w:lvlJc w:val="left"/>
      <w:pPr>
        <w:tabs>
          <w:tab w:val="num" w:pos="720"/>
        </w:tabs>
        <w:ind w:left="720" w:hanging="360"/>
      </w:pPr>
      <w:rPr>
        <w:rFonts w:ascii="Symbol" w:hAnsi="Symbol" w:hint="default"/>
      </w:rPr>
    </w:lvl>
    <w:lvl w:ilvl="1" w:tplc="C7B88F86" w:tentative="1">
      <w:start w:val="1"/>
      <w:numFmt w:val="bullet"/>
      <w:lvlText w:val=""/>
      <w:lvlJc w:val="left"/>
      <w:pPr>
        <w:tabs>
          <w:tab w:val="num" w:pos="1440"/>
        </w:tabs>
        <w:ind w:left="1440" w:hanging="360"/>
      </w:pPr>
      <w:rPr>
        <w:rFonts w:ascii="Symbol" w:hAnsi="Symbol" w:hint="default"/>
      </w:rPr>
    </w:lvl>
    <w:lvl w:ilvl="2" w:tplc="B1988AA8" w:tentative="1">
      <w:start w:val="1"/>
      <w:numFmt w:val="bullet"/>
      <w:lvlText w:val=""/>
      <w:lvlJc w:val="left"/>
      <w:pPr>
        <w:tabs>
          <w:tab w:val="num" w:pos="2160"/>
        </w:tabs>
        <w:ind w:left="2160" w:hanging="360"/>
      </w:pPr>
      <w:rPr>
        <w:rFonts w:ascii="Symbol" w:hAnsi="Symbol" w:hint="default"/>
      </w:rPr>
    </w:lvl>
    <w:lvl w:ilvl="3" w:tplc="BF8268F6" w:tentative="1">
      <w:start w:val="1"/>
      <w:numFmt w:val="bullet"/>
      <w:lvlText w:val=""/>
      <w:lvlJc w:val="left"/>
      <w:pPr>
        <w:tabs>
          <w:tab w:val="num" w:pos="2880"/>
        </w:tabs>
        <w:ind w:left="2880" w:hanging="360"/>
      </w:pPr>
      <w:rPr>
        <w:rFonts w:ascii="Symbol" w:hAnsi="Symbol" w:hint="default"/>
      </w:rPr>
    </w:lvl>
    <w:lvl w:ilvl="4" w:tplc="075A4120" w:tentative="1">
      <w:start w:val="1"/>
      <w:numFmt w:val="bullet"/>
      <w:lvlText w:val=""/>
      <w:lvlJc w:val="left"/>
      <w:pPr>
        <w:tabs>
          <w:tab w:val="num" w:pos="3600"/>
        </w:tabs>
        <w:ind w:left="3600" w:hanging="360"/>
      </w:pPr>
      <w:rPr>
        <w:rFonts w:ascii="Symbol" w:hAnsi="Symbol" w:hint="default"/>
      </w:rPr>
    </w:lvl>
    <w:lvl w:ilvl="5" w:tplc="E1A2BD08" w:tentative="1">
      <w:start w:val="1"/>
      <w:numFmt w:val="bullet"/>
      <w:lvlText w:val=""/>
      <w:lvlJc w:val="left"/>
      <w:pPr>
        <w:tabs>
          <w:tab w:val="num" w:pos="4320"/>
        </w:tabs>
        <w:ind w:left="4320" w:hanging="360"/>
      </w:pPr>
      <w:rPr>
        <w:rFonts w:ascii="Symbol" w:hAnsi="Symbol" w:hint="default"/>
      </w:rPr>
    </w:lvl>
    <w:lvl w:ilvl="6" w:tplc="71265C60" w:tentative="1">
      <w:start w:val="1"/>
      <w:numFmt w:val="bullet"/>
      <w:lvlText w:val=""/>
      <w:lvlJc w:val="left"/>
      <w:pPr>
        <w:tabs>
          <w:tab w:val="num" w:pos="5040"/>
        </w:tabs>
        <w:ind w:left="5040" w:hanging="360"/>
      </w:pPr>
      <w:rPr>
        <w:rFonts w:ascii="Symbol" w:hAnsi="Symbol" w:hint="default"/>
      </w:rPr>
    </w:lvl>
    <w:lvl w:ilvl="7" w:tplc="341A2D40" w:tentative="1">
      <w:start w:val="1"/>
      <w:numFmt w:val="bullet"/>
      <w:lvlText w:val=""/>
      <w:lvlJc w:val="left"/>
      <w:pPr>
        <w:tabs>
          <w:tab w:val="num" w:pos="5760"/>
        </w:tabs>
        <w:ind w:left="5760" w:hanging="360"/>
      </w:pPr>
      <w:rPr>
        <w:rFonts w:ascii="Symbol" w:hAnsi="Symbol" w:hint="default"/>
      </w:rPr>
    </w:lvl>
    <w:lvl w:ilvl="8" w:tplc="56C09F9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DF7848"/>
    <w:multiLevelType w:val="hybridMultilevel"/>
    <w:tmpl w:val="42E8144A"/>
    <w:lvl w:ilvl="0" w:tplc="CB40CC94">
      <w:start w:val="1"/>
      <w:numFmt w:val="bullet"/>
      <w:lvlText w:val=""/>
      <w:lvlJc w:val="left"/>
      <w:pPr>
        <w:tabs>
          <w:tab w:val="num" w:pos="720"/>
        </w:tabs>
        <w:ind w:left="720" w:hanging="360"/>
      </w:pPr>
      <w:rPr>
        <w:rFonts w:ascii="Symbol" w:hAnsi="Symbol" w:hint="default"/>
      </w:rPr>
    </w:lvl>
    <w:lvl w:ilvl="1" w:tplc="BEC4EB1C" w:tentative="1">
      <w:start w:val="1"/>
      <w:numFmt w:val="bullet"/>
      <w:lvlText w:val=""/>
      <w:lvlJc w:val="left"/>
      <w:pPr>
        <w:tabs>
          <w:tab w:val="num" w:pos="1440"/>
        </w:tabs>
        <w:ind w:left="1440" w:hanging="360"/>
      </w:pPr>
      <w:rPr>
        <w:rFonts w:ascii="Symbol" w:hAnsi="Symbol" w:hint="default"/>
      </w:rPr>
    </w:lvl>
    <w:lvl w:ilvl="2" w:tplc="4A04E1D8" w:tentative="1">
      <w:start w:val="1"/>
      <w:numFmt w:val="bullet"/>
      <w:lvlText w:val=""/>
      <w:lvlJc w:val="left"/>
      <w:pPr>
        <w:tabs>
          <w:tab w:val="num" w:pos="2160"/>
        </w:tabs>
        <w:ind w:left="2160" w:hanging="360"/>
      </w:pPr>
      <w:rPr>
        <w:rFonts w:ascii="Symbol" w:hAnsi="Symbol" w:hint="default"/>
      </w:rPr>
    </w:lvl>
    <w:lvl w:ilvl="3" w:tplc="CDE2D542" w:tentative="1">
      <w:start w:val="1"/>
      <w:numFmt w:val="bullet"/>
      <w:lvlText w:val=""/>
      <w:lvlJc w:val="left"/>
      <w:pPr>
        <w:tabs>
          <w:tab w:val="num" w:pos="2880"/>
        </w:tabs>
        <w:ind w:left="2880" w:hanging="360"/>
      </w:pPr>
      <w:rPr>
        <w:rFonts w:ascii="Symbol" w:hAnsi="Symbol" w:hint="default"/>
      </w:rPr>
    </w:lvl>
    <w:lvl w:ilvl="4" w:tplc="CDEE9E28" w:tentative="1">
      <w:start w:val="1"/>
      <w:numFmt w:val="bullet"/>
      <w:lvlText w:val=""/>
      <w:lvlJc w:val="left"/>
      <w:pPr>
        <w:tabs>
          <w:tab w:val="num" w:pos="3600"/>
        </w:tabs>
        <w:ind w:left="3600" w:hanging="360"/>
      </w:pPr>
      <w:rPr>
        <w:rFonts w:ascii="Symbol" w:hAnsi="Symbol" w:hint="default"/>
      </w:rPr>
    </w:lvl>
    <w:lvl w:ilvl="5" w:tplc="0ED09ED2" w:tentative="1">
      <w:start w:val="1"/>
      <w:numFmt w:val="bullet"/>
      <w:lvlText w:val=""/>
      <w:lvlJc w:val="left"/>
      <w:pPr>
        <w:tabs>
          <w:tab w:val="num" w:pos="4320"/>
        </w:tabs>
        <w:ind w:left="4320" w:hanging="360"/>
      </w:pPr>
      <w:rPr>
        <w:rFonts w:ascii="Symbol" w:hAnsi="Symbol" w:hint="default"/>
      </w:rPr>
    </w:lvl>
    <w:lvl w:ilvl="6" w:tplc="541C384A" w:tentative="1">
      <w:start w:val="1"/>
      <w:numFmt w:val="bullet"/>
      <w:lvlText w:val=""/>
      <w:lvlJc w:val="left"/>
      <w:pPr>
        <w:tabs>
          <w:tab w:val="num" w:pos="5040"/>
        </w:tabs>
        <w:ind w:left="5040" w:hanging="360"/>
      </w:pPr>
      <w:rPr>
        <w:rFonts w:ascii="Symbol" w:hAnsi="Symbol" w:hint="default"/>
      </w:rPr>
    </w:lvl>
    <w:lvl w:ilvl="7" w:tplc="E31EA16C" w:tentative="1">
      <w:start w:val="1"/>
      <w:numFmt w:val="bullet"/>
      <w:lvlText w:val=""/>
      <w:lvlJc w:val="left"/>
      <w:pPr>
        <w:tabs>
          <w:tab w:val="num" w:pos="5760"/>
        </w:tabs>
        <w:ind w:left="5760" w:hanging="360"/>
      </w:pPr>
      <w:rPr>
        <w:rFonts w:ascii="Symbol" w:hAnsi="Symbol" w:hint="default"/>
      </w:rPr>
    </w:lvl>
    <w:lvl w:ilvl="8" w:tplc="2F7AEB0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50"/>
        </w:tabs>
        <w:ind w:left="4253"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6C3C08"/>
    <w:multiLevelType w:val="hybridMultilevel"/>
    <w:tmpl w:val="70387C88"/>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7460D9"/>
    <w:multiLevelType w:val="hybridMultilevel"/>
    <w:tmpl w:val="65B663FE"/>
    <w:lvl w:ilvl="0" w:tplc="67F6BDE2">
      <w:start w:val="1"/>
      <w:numFmt w:val="bullet"/>
      <w:lvlText w:val=""/>
      <w:lvlJc w:val="left"/>
      <w:pPr>
        <w:tabs>
          <w:tab w:val="num" w:pos="720"/>
        </w:tabs>
        <w:ind w:left="720" w:hanging="360"/>
      </w:pPr>
      <w:rPr>
        <w:rFonts w:ascii="Symbol" w:hAnsi="Symbol" w:hint="default"/>
      </w:rPr>
    </w:lvl>
    <w:lvl w:ilvl="1" w:tplc="0CAA48F2" w:tentative="1">
      <w:start w:val="1"/>
      <w:numFmt w:val="bullet"/>
      <w:lvlText w:val=""/>
      <w:lvlJc w:val="left"/>
      <w:pPr>
        <w:tabs>
          <w:tab w:val="num" w:pos="1440"/>
        </w:tabs>
        <w:ind w:left="1440" w:hanging="360"/>
      </w:pPr>
      <w:rPr>
        <w:rFonts w:ascii="Symbol" w:hAnsi="Symbol" w:hint="default"/>
      </w:rPr>
    </w:lvl>
    <w:lvl w:ilvl="2" w:tplc="F97CC38A" w:tentative="1">
      <w:start w:val="1"/>
      <w:numFmt w:val="bullet"/>
      <w:lvlText w:val=""/>
      <w:lvlJc w:val="left"/>
      <w:pPr>
        <w:tabs>
          <w:tab w:val="num" w:pos="2160"/>
        </w:tabs>
        <w:ind w:left="2160" w:hanging="360"/>
      </w:pPr>
      <w:rPr>
        <w:rFonts w:ascii="Symbol" w:hAnsi="Symbol" w:hint="default"/>
      </w:rPr>
    </w:lvl>
    <w:lvl w:ilvl="3" w:tplc="1480B736" w:tentative="1">
      <w:start w:val="1"/>
      <w:numFmt w:val="bullet"/>
      <w:lvlText w:val=""/>
      <w:lvlJc w:val="left"/>
      <w:pPr>
        <w:tabs>
          <w:tab w:val="num" w:pos="2880"/>
        </w:tabs>
        <w:ind w:left="2880" w:hanging="360"/>
      </w:pPr>
      <w:rPr>
        <w:rFonts w:ascii="Symbol" w:hAnsi="Symbol" w:hint="default"/>
      </w:rPr>
    </w:lvl>
    <w:lvl w:ilvl="4" w:tplc="4086ABE2" w:tentative="1">
      <w:start w:val="1"/>
      <w:numFmt w:val="bullet"/>
      <w:lvlText w:val=""/>
      <w:lvlJc w:val="left"/>
      <w:pPr>
        <w:tabs>
          <w:tab w:val="num" w:pos="3600"/>
        </w:tabs>
        <w:ind w:left="3600" w:hanging="360"/>
      </w:pPr>
      <w:rPr>
        <w:rFonts w:ascii="Symbol" w:hAnsi="Symbol" w:hint="default"/>
      </w:rPr>
    </w:lvl>
    <w:lvl w:ilvl="5" w:tplc="7E62E594" w:tentative="1">
      <w:start w:val="1"/>
      <w:numFmt w:val="bullet"/>
      <w:lvlText w:val=""/>
      <w:lvlJc w:val="left"/>
      <w:pPr>
        <w:tabs>
          <w:tab w:val="num" w:pos="4320"/>
        </w:tabs>
        <w:ind w:left="4320" w:hanging="360"/>
      </w:pPr>
      <w:rPr>
        <w:rFonts w:ascii="Symbol" w:hAnsi="Symbol" w:hint="default"/>
      </w:rPr>
    </w:lvl>
    <w:lvl w:ilvl="6" w:tplc="E6060952" w:tentative="1">
      <w:start w:val="1"/>
      <w:numFmt w:val="bullet"/>
      <w:lvlText w:val=""/>
      <w:lvlJc w:val="left"/>
      <w:pPr>
        <w:tabs>
          <w:tab w:val="num" w:pos="5040"/>
        </w:tabs>
        <w:ind w:left="5040" w:hanging="360"/>
      </w:pPr>
      <w:rPr>
        <w:rFonts w:ascii="Symbol" w:hAnsi="Symbol" w:hint="default"/>
      </w:rPr>
    </w:lvl>
    <w:lvl w:ilvl="7" w:tplc="F1D4DDF8" w:tentative="1">
      <w:start w:val="1"/>
      <w:numFmt w:val="bullet"/>
      <w:lvlText w:val=""/>
      <w:lvlJc w:val="left"/>
      <w:pPr>
        <w:tabs>
          <w:tab w:val="num" w:pos="5760"/>
        </w:tabs>
        <w:ind w:left="5760" w:hanging="360"/>
      </w:pPr>
      <w:rPr>
        <w:rFonts w:ascii="Symbol" w:hAnsi="Symbol" w:hint="default"/>
      </w:rPr>
    </w:lvl>
    <w:lvl w:ilvl="8" w:tplc="1CC4E1F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8D28F5"/>
    <w:multiLevelType w:val="hybridMultilevel"/>
    <w:tmpl w:val="16C02F04"/>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037127"/>
    <w:multiLevelType w:val="hybridMultilevel"/>
    <w:tmpl w:val="5F081B78"/>
    <w:lvl w:ilvl="0" w:tplc="35F2073A">
      <w:start w:val="1"/>
      <w:numFmt w:val="bullet"/>
      <w:lvlText w:val=""/>
      <w:lvlJc w:val="left"/>
      <w:pPr>
        <w:tabs>
          <w:tab w:val="num" w:pos="720"/>
        </w:tabs>
        <w:ind w:left="720" w:hanging="360"/>
      </w:pPr>
      <w:rPr>
        <w:rFonts w:ascii="Symbol" w:hAnsi="Symbol" w:hint="default"/>
      </w:rPr>
    </w:lvl>
    <w:lvl w:ilvl="1" w:tplc="7CDC89A8" w:tentative="1">
      <w:start w:val="1"/>
      <w:numFmt w:val="bullet"/>
      <w:lvlText w:val=""/>
      <w:lvlJc w:val="left"/>
      <w:pPr>
        <w:tabs>
          <w:tab w:val="num" w:pos="1440"/>
        </w:tabs>
        <w:ind w:left="1440" w:hanging="360"/>
      </w:pPr>
      <w:rPr>
        <w:rFonts w:ascii="Symbol" w:hAnsi="Symbol" w:hint="default"/>
      </w:rPr>
    </w:lvl>
    <w:lvl w:ilvl="2" w:tplc="77849978" w:tentative="1">
      <w:start w:val="1"/>
      <w:numFmt w:val="bullet"/>
      <w:lvlText w:val=""/>
      <w:lvlJc w:val="left"/>
      <w:pPr>
        <w:tabs>
          <w:tab w:val="num" w:pos="2160"/>
        </w:tabs>
        <w:ind w:left="2160" w:hanging="360"/>
      </w:pPr>
      <w:rPr>
        <w:rFonts w:ascii="Symbol" w:hAnsi="Symbol" w:hint="default"/>
      </w:rPr>
    </w:lvl>
    <w:lvl w:ilvl="3" w:tplc="FEBCFC52" w:tentative="1">
      <w:start w:val="1"/>
      <w:numFmt w:val="bullet"/>
      <w:lvlText w:val=""/>
      <w:lvlJc w:val="left"/>
      <w:pPr>
        <w:tabs>
          <w:tab w:val="num" w:pos="2880"/>
        </w:tabs>
        <w:ind w:left="2880" w:hanging="360"/>
      </w:pPr>
      <w:rPr>
        <w:rFonts w:ascii="Symbol" w:hAnsi="Symbol" w:hint="default"/>
      </w:rPr>
    </w:lvl>
    <w:lvl w:ilvl="4" w:tplc="5B54367A" w:tentative="1">
      <w:start w:val="1"/>
      <w:numFmt w:val="bullet"/>
      <w:lvlText w:val=""/>
      <w:lvlJc w:val="left"/>
      <w:pPr>
        <w:tabs>
          <w:tab w:val="num" w:pos="3600"/>
        </w:tabs>
        <w:ind w:left="3600" w:hanging="360"/>
      </w:pPr>
      <w:rPr>
        <w:rFonts w:ascii="Symbol" w:hAnsi="Symbol" w:hint="default"/>
      </w:rPr>
    </w:lvl>
    <w:lvl w:ilvl="5" w:tplc="748CB910" w:tentative="1">
      <w:start w:val="1"/>
      <w:numFmt w:val="bullet"/>
      <w:lvlText w:val=""/>
      <w:lvlJc w:val="left"/>
      <w:pPr>
        <w:tabs>
          <w:tab w:val="num" w:pos="4320"/>
        </w:tabs>
        <w:ind w:left="4320" w:hanging="360"/>
      </w:pPr>
      <w:rPr>
        <w:rFonts w:ascii="Symbol" w:hAnsi="Symbol" w:hint="default"/>
      </w:rPr>
    </w:lvl>
    <w:lvl w:ilvl="6" w:tplc="0B2043E0" w:tentative="1">
      <w:start w:val="1"/>
      <w:numFmt w:val="bullet"/>
      <w:lvlText w:val=""/>
      <w:lvlJc w:val="left"/>
      <w:pPr>
        <w:tabs>
          <w:tab w:val="num" w:pos="5040"/>
        </w:tabs>
        <w:ind w:left="5040" w:hanging="360"/>
      </w:pPr>
      <w:rPr>
        <w:rFonts w:ascii="Symbol" w:hAnsi="Symbol" w:hint="default"/>
      </w:rPr>
    </w:lvl>
    <w:lvl w:ilvl="7" w:tplc="71CC399C" w:tentative="1">
      <w:start w:val="1"/>
      <w:numFmt w:val="bullet"/>
      <w:lvlText w:val=""/>
      <w:lvlJc w:val="left"/>
      <w:pPr>
        <w:tabs>
          <w:tab w:val="num" w:pos="5760"/>
        </w:tabs>
        <w:ind w:left="5760" w:hanging="360"/>
      </w:pPr>
      <w:rPr>
        <w:rFonts w:ascii="Symbol" w:hAnsi="Symbol" w:hint="default"/>
      </w:rPr>
    </w:lvl>
    <w:lvl w:ilvl="8" w:tplc="847CFE2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5721F64"/>
    <w:multiLevelType w:val="hybridMultilevel"/>
    <w:tmpl w:val="E018BD94"/>
    <w:lvl w:ilvl="0" w:tplc="8DC66F7C">
      <w:start w:val="1"/>
      <w:numFmt w:val="bullet"/>
      <w:lvlText w:val="•"/>
      <w:lvlJc w:val="left"/>
      <w:pPr>
        <w:tabs>
          <w:tab w:val="num" w:pos="720"/>
        </w:tabs>
        <w:ind w:left="720" w:hanging="360"/>
      </w:pPr>
      <w:rPr>
        <w:rFonts w:ascii="Arial" w:hAnsi="Arial" w:hint="default"/>
      </w:rPr>
    </w:lvl>
    <w:lvl w:ilvl="1" w:tplc="5AC6D65C" w:tentative="1">
      <w:start w:val="1"/>
      <w:numFmt w:val="bullet"/>
      <w:lvlText w:val="•"/>
      <w:lvlJc w:val="left"/>
      <w:pPr>
        <w:tabs>
          <w:tab w:val="num" w:pos="1440"/>
        </w:tabs>
        <w:ind w:left="1440" w:hanging="360"/>
      </w:pPr>
      <w:rPr>
        <w:rFonts w:ascii="Arial" w:hAnsi="Arial" w:hint="default"/>
      </w:rPr>
    </w:lvl>
    <w:lvl w:ilvl="2" w:tplc="15860368" w:tentative="1">
      <w:start w:val="1"/>
      <w:numFmt w:val="bullet"/>
      <w:lvlText w:val="•"/>
      <w:lvlJc w:val="left"/>
      <w:pPr>
        <w:tabs>
          <w:tab w:val="num" w:pos="2160"/>
        </w:tabs>
        <w:ind w:left="2160" w:hanging="360"/>
      </w:pPr>
      <w:rPr>
        <w:rFonts w:ascii="Arial" w:hAnsi="Arial" w:hint="default"/>
      </w:rPr>
    </w:lvl>
    <w:lvl w:ilvl="3" w:tplc="2D544E26" w:tentative="1">
      <w:start w:val="1"/>
      <w:numFmt w:val="bullet"/>
      <w:lvlText w:val="•"/>
      <w:lvlJc w:val="left"/>
      <w:pPr>
        <w:tabs>
          <w:tab w:val="num" w:pos="2880"/>
        </w:tabs>
        <w:ind w:left="2880" w:hanging="360"/>
      </w:pPr>
      <w:rPr>
        <w:rFonts w:ascii="Arial" w:hAnsi="Arial" w:hint="default"/>
      </w:rPr>
    </w:lvl>
    <w:lvl w:ilvl="4" w:tplc="563460EE" w:tentative="1">
      <w:start w:val="1"/>
      <w:numFmt w:val="bullet"/>
      <w:lvlText w:val="•"/>
      <w:lvlJc w:val="left"/>
      <w:pPr>
        <w:tabs>
          <w:tab w:val="num" w:pos="3600"/>
        </w:tabs>
        <w:ind w:left="3600" w:hanging="360"/>
      </w:pPr>
      <w:rPr>
        <w:rFonts w:ascii="Arial" w:hAnsi="Arial" w:hint="default"/>
      </w:rPr>
    </w:lvl>
    <w:lvl w:ilvl="5" w:tplc="0D9458D4" w:tentative="1">
      <w:start w:val="1"/>
      <w:numFmt w:val="bullet"/>
      <w:lvlText w:val="•"/>
      <w:lvlJc w:val="left"/>
      <w:pPr>
        <w:tabs>
          <w:tab w:val="num" w:pos="4320"/>
        </w:tabs>
        <w:ind w:left="4320" w:hanging="360"/>
      </w:pPr>
      <w:rPr>
        <w:rFonts w:ascii="Arial" w:hAnsi="Arial" w:hint="default"/>
      </w:rPr>
    </w:lvl>
    <w:lvl w:ilvl="6" w:tplc="4B80EF34" w:tentative="1">
      <w:start w:val="1"/>
      <w:numFmt w:val="bullet"/>
      <w:lvlText w:val="•"/>
      <w:lvlJc w:val="left"/>
      <w:pPr>
        <w:tabs>
          <w:tab w:val="num" w:pos="5040"/>
        </w:tabs>
        <w:ind w:left="5040" w:hanging="360"/>
      </w:pPr>
      <w:rPr>
        <w:rFonts w:ascii="Arial" w:hAnsi="Arial" w:hint="default"/>
      </w:rPr>
    </w:lvl>
    <w:lvl w:ilvl="7" w:tplc="322084FC" w:tentative="1">
      <w:start w:val="1"/>
      <w:numFmt w:val="bullet"/>
      <w:lvlText w:val="•"/>
      <w:lvlJc w:val="left"/>
      <w:pPr>
        <w:tabs>
          <w:tab w:val="num" w:pos="5760"/>
        </w:tabs>
        <w:ind w:left="5760" w:hanging="360"/>
      </w:pPr>
      <w:rPr>
        <w:rFonts w:ascii="Arial" w:hAnsi="Arial" w:hint="default"/>
      </w:rPr>
    </w:lvl>
    <w:lvl w:ilvl="8" w:tplc="544415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4B3816"/>
    <w:multiLevelType w:val="hybridMultilevel"/>
    <w:tmpl w:val="D1287370"/>
    <w:lvl w:ilvl="0" w:tplc="26CA55AA">
      <w:start w:val="1"/>
      <w:numFmt w:val="bullet"/>
      <w:lvlText w:val=""/>
      <w:lvlJc w:val="left"/>
      <w:pPr>
        <w:tabs>
          <w:tab w:val="num" w:pos="720"/>
        </w:tabs>
        <w:ind w:left="720" w:hanging="360"/>
      </w:pPr>
      <w:rPr>
        <w:rFonts w:ascii="Symbol" w:hAnsi="Symbol" w:hint="default"/>
      </w:rPr>
    </w:lvl>
    <w:lvl w:ilvl="1" w:tplc="E79E2B48" w:tentative="1">
      <w:start w:val="1"/>
      <w:numFmt w:val="bullet"/>
      <w:lvlText w:val=""/>
      <w:lvlJc w:val="left"/>
      <w:pPr>
        <w:tabs>
          <w:tab w:val="num" w:pos="1440"/>
        </w:tabs>
        <w:ind w:left="1440" w:hanging="360"/>
      </w:pPr>
      <w:rPr>
        <w:rFonts w:ascii="Symbol" w:hAnsi="Symbol" w:hint="default"/>
      </w:rPr>
    </w:lvl>
    <w:lvl w:ilvl="2" w:tplc="E048C83A" w:tentative="1">
      <w:start w:val="1"/>
      <w:numFmt w:val="bullet"/>
      <w:lvlText w:val=""/>
      <w:lvlJc w:val="left"/>
      <w:pPr>
        <w:tabs>
          <w:tab w:val="num" w:pos="2160"/>
        </w:tabs>
        <w:ind w:left="2160" w:hanging="360"/>
      </w:pPr>
      <w:rPr>
        <w:rFonts w:ascii="Symbol" w:hAnsi="Symbol" w:hint="default"/>
      </w:rPr>
    </w:lvl>
    <w:lvl w:ilvl="3" w:tplc="CDB071BA" w:tentative="1">
      <w:start w:val="1"/>
      <w:numFmt w:val="bullet"/>
      <w:lvlText w:val=""/>
      <w:lvlJc w:val="left"/>
      <w:pPr>
        <w:tabs>
          <w:tab w:val="num" w:pos="2880"/>
        </w:tabs>
        <w:ind w:left="2880" w:hanging="360"/>
      </w:pPr>
      <w:rPr>
        <w:rFonts w:ascii="Symbol" w:hAnsi="Symbol" w:hint="default"/>
      </w:rPr>
    </w:lvl>
    <w:lvl w:ilvl="4" w:tplc="475C21F4" w:tentative="1">
      <w:start w:val="1"/>
      <w:numFmt w:val="bullet"/>
      <w:lvlText w:val=""/>
      <w:lvlJc w:val="left"/>
      <w:pPr>
        <w:tabs>
          <w:tab w:val="num" w:pos="3600"/>
        </w:tabs>
        <w:ind w:left="3600" w:hanging="360"/>
      </w:pPr>
      <w:rPr>
        <w:rFonts w:ascii="Symbol" w:hAnsi="Symbol" w:hint="default"/>
      </w:rPr>
    </w:lvl>
    <w:lvl w:ilvl="5" w:tplc="F3746966" w:tentative="1">
      <w:start w:val="1"/>
      <w:numFmt w:val="bullet"/>
      <w:lvlText w:val=""/>
      <w:lvlJc w:val="left"/>
      <w:pPr>
        <w:tabs>
          <w:tab w:val="num" w:pos="4320"/>
        </w:tabs>
        <w:ind w:left="4320" w:hanging="360"/>
      </w:pPr>
      <w:rPr>
        <w:rFonts w:ascii="Symbol" w:hAnsi="Symbol" w:hint="default"/>
      </w:rPr>
    </w:lvl>
    <w:lvl w:ilvl="6" w:tplc="E57A10AE" w:tentative="1">
      <w:start w:val="1"/>
      <w:numFmt w:val="bullet"/>
      <w:lvlText w:val=""/>
      <w:lvlJc w:val="left"/>
      <w:pPr>
        <w:tabs>
          <w:tab w:val="num" w:pos="5040"/>
        </w:tabs>
        <w:ind w:left="5040" w:hanging="360"/>
      </w:pPr>
      <w:rPr>
        <w:rFonts w:ascii="Symbol" w:hAnsi="Symbol" w:hint="default"/>
      </w:rPr>
    </w:lvl>
    <w:lvl w:ilvl="7" w:tplc="5CACCCE2" w:tentative="1">
      <w:start w:val="1"/>
      <w:numFmt w:val="bullet"/>
      <w:lvlText w:val=""/>
      <w:lvlJc w:val="left"/>
      <w:pPr>
        <w:tabs>
          <w:tab w:val="num" w:pos="5760"/>
        </w:tabs>
        <w:ind w:left="5760" w:hanging="360"/>
      </w:pPr>
      <w:rPr>
        <w:rFonts w:ascii="Symbol" w:hAnsi="Symbol" w:hint="default"/>
      </w:rPr>
    </w:lvl>
    <w:lvl w:ilvl="8" w:tplc="6F7E902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C26739"/>
    <w:multiLevelType w:val="hybridMultilevel"/>
    <w:tmpl w:val="A5F674CA"/>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7B3564"/>
    <w:multiLevelType w:val="hybridMultilevel"/>
    <w:tmpl w:val="CE2AC5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327D87"/>
    <w:multiLevelType w:val="hybridMultilevel"/>
    <w:tmpl w:val="DEDC336A"/>
    <w:lvl w:ilvl="0" w:tplc="D93C6232">
      <w:start w:val="1"/>
      <w:numFmt w:val="bullet"/>
      <w:lvlText w:val=""/>
      <w:lvlJc w:val="left"/>
      <w:pPr>
        <w:tabs>
          <w:tab w:val="num" w:pos="720"/>
        </w:tabs>
        <w:ind w:left="720" w:hanging="360"/>
      </w:pPr>
      <w:rPr>
        <w:rFonts w:ascii="Symbol" w:hAnsi="Symbol" w:hint="default"/>
      </w:rPr>
    </w:lvl>
    <w:lvl w:ilvl="1" w:tplc="6DEA3848">
      <w:numFmt w:val="bullet"/>
      <w:lvlText w:val="•"/>
      <w:lvlJc w:val="left"/>
      <w:pPr>
        <w:tabs>
          <w:tab w:val="num" w:pos="1440"/>
        </w:tabs>
        <w:ind w:left="1440" w:hanging="360"/>
      </w:pPr>
      <w:rPr>
        <w:rFonts w:ascii="Arial" w:hAnsi="Arial" w:hint="default"/>
      </w:rPr>
    </w:lvl>
    <w:lvl w:ilvl="2" w:tplc="AE5A463C" w:tentative="1">
      <w:start w:val="1"/>
      <w:numFmt w:val="bullet"/>
      <w:lvlText w:val=""/>
      <w:lvlJc w:val="left"/>
      <w:pPr>
        <w:tabs>
          <w:tab w:val="num" w:pos="2160"/>
        </w:tabs>
        <w:ind w:left="2160" w:hanging="360"/>
      </w:pPr>
      <w:rPr>
        <w:rFonts w:ascii="Symbol" w:hAnsi="Symbol" w:hint="default"/>
      </w:rPr>
    </w:lvl>
    <w:lvl w:ilvl="3" w:tplc="B8564420" w:tentative="1">
      <w:start w:val="1"/>
      <w:numFmt w:val="bullet"/>
      <w:lvlText w:val=""/>
      <w:lvlJc w:val="left"/>
      <w:pPr>
        <w:tabs>
          <w:tab w:val="num" w:pos="2880"/>
        </w:tabs>
        <w:ind w:left="2880" w:hanging="360"/>
      </w:pPr>
      <w:rPr>
        <w:rFonts w:ascii="Symbol" w:hAnsi="Symbol" w:hint="default"/>
      </w:rPr>
    </w:lvl>
    <w:lvl w:ilvl="4" w:tplc="EAD0CEDA" w:tentative="1">
      <w:start w:val="1"/>
      <w:numFmt w:val="bullet"/>
      <w:lvlText w:val=""/>
      <w:lvlJc w:val="left"/>
      <w:pPr>
        <w:tabs>
          <w:tab w:val="num" w:pos="3600"/>
        </w:tabs>
        <w:ind w:left="3600" w:hanging="360"/>
      </w:pPr>
      <w:rPr>
        <w:rFonts w:ascii="Symbol" w:hAnsi="Symbol" w:hint="default"/>
      </w:rPr>
    </w:lvl>
    <w:lvl w:ilvl="5" w:tplc="F5B02AFC" w:tentative="1">
      <w:start w:val="1"/>
      <w:numFmt w:val="bullet"/>
      <w:lvlText w:val=""/>
      <w:lvlJc w:val="left"/>
      <w:pPr>
        <w:tabs>
          <w:tab w:val="num" w:pos="4320"/>
        </w:tabs>
        <w:ind w:left="4320" w:hanging="360"/>
      </w:pPr>
      <w:rPr>
        <w:rFonts w:ascii="Symbol" w:hAnsi="Symbol" w:hint="default"/>
      </w:rPr>
    </w:lvl>
    <w:lvl w:ilvl="6" w:tplc="874CE6F0" w:tentative="1">
      <w:start w:val="1"/>
      <w:numFmt w:val="bullet"/>
      <w:lvlText w:val=""/>
      <w:lvlJc w:val="left"/>
      <w:pPr>
        <w:tabs>
          <w:tab w:val="num" w:pos="5040"/>
        </w:tabs>
        <w:ind w:left="5040" w:hanging="360"/>
      </w:pPr>
      <w:rPr>
        <w:rFonts w:ascii="Symbol" w:hAnsi="Symbol" w:hint="default"/>
      </w:rPr>
    </w:lvl>
    <w:lvl w:ilvl="7" w:tplc="1FD0DB72" w:tentative="1">
      <w:start w:val="1"/>
      <w:numFmt w:val="bullet"/>
      <w:lvlText w:val=""/>
      <w:lvlJc w:val="left"/>
      <w:pPr>
        <w:tabs>
          <w:tab w:val="num" w:pos="5760"/>
        </w:tabs>
        <w:ind w:left="5760" w:hanging="360"/>
      </w:pPr>
      <w:rPr>
        <w:rFonts w:ascii="Symbol" w:hAnsi="Symbol" w:hint="default"/>
      </w:rPr>
    </w:lvl>
    <w:lvl w:ilvl="8" w:tplc="60B0CF7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19F6952"/>
    <w:multiLevelType w:val="hybridMultilevel"/>
    <w:tmpl w:val="9CB2DC1E"/>
    <w:lvl w:ilvl="0" w:tplc="ED1613A8">
      <w:start w:val="1"/>
      <w:numFmt w:val="bullet"/>
      <w:lvlText w:val=""/>
      <w:lvlJc w:val="left"/>
      <w:pPr>
        <w:tabs>
          <w:tab w:val="num" w:pos="720"/>
        </w:tabs>
        <w:ind w:left="720" w:hanging="360"/>
      </w:pPr>
      <w:rPr>
        <w:rFonts w:ascii="Symbol" w:hAnsi="Symbol" w:hint="default"/>
      </w:rPr>
    </w:lvl>
    <w:lvl w:ilvl="1" w:tplc="88105CEC">
      <w:numFmt w:val="bullet"/>
      <w:lvlText w:val=""/>
      <w:lvlJc w:val="left"/>
      <w:pPr>
        <w:tabs>
          <w:tab w:val="num" w:pos="1440"/>
        </w:tabs>
        <w:ind w:left="1440" w:hanging="360"/>
      </w:pPr>
      <w:rPr>
        <w:rFonts w:ascii="Symbol" w:hAnsi="Symbol" w:hint="default"/>
      </w:rPr>
    </w:lvl>
    <w:lvl w:ilvl="2" w:tplc="315E5B24" w:tentative="1">
      <w:start w:val="1"/>
      <w:numFmt w:val="bullet"/>
      <w:lvlText w:val=""/>
      <w:lvlJc w:val="left"/>
      <w:pPr>
        <w:tabs>
          <w:tab w:val="num" w:pos="2160"/>
        </w:tabs>
        <w:ind w:left="2160" w:hanging="360"/>
      </w:pPr>
      <w:rPr>
        <w:rFonts w:ascii="Symbol" w:hAnsi="Symbol" w:hint="default"/>
      </w:rPr>
    </w:lvl>
    <w:lvl w:ilvl="3" w:tplc="FC48E05C" w:tentative="1">
      <w:start w:val="1"/>
      <w:numFmt w:val="bullet"/>
      <w:lvlText w:val=""/>
      <w:lvlJc w:val="left"/>
      <w:pPr>
        <w:tabs>
          <w:tab w:val="num" w:pos="2880"/>
        </w:tabs>
        <w:ind w:left="2880" w:hanging="360"/>
      </w:pPr>
      <w:rPr>
        <w:rFonts w:ascii="Symbol" w:hAnsi="Symbol" w:hint="default"/>
      </w:rPr>
    </w:lvl>
    <w:lvl w:ilvl="4" w:tplc="E4B46F1C" w:tentative="1">
      <w:start w:val="1"/>
      <w:numFmt w:val="bullet"/>
      <w:lvlText w:val=""/>
      <w:lvlJc w:val="left"/>
      <w:pPr>
        <w:tabs>
          <w:tab w:val="num" w:pos="3600"/>
        </w:tabs>
        <w:ind w:left="3600" w:hanging="360"/>
      </w:pPr>
      <w:rPr>
        <w:rFonts w:ascii="Symbol" w:hAnsi="Symbol" w:hint="default"/>
      </w:rPr>
    </w:lvl>
    <w:lvl w:ilvl="5" w:tplc="13807540" w:tentative="1">
      <w:start w:val="1"/>
      <w:numFmt w:val="bullet"/>
      <w:lvlText w:val=""/>
      <w:lvlJc w:val="left"/>
      <w:pPr>
        <w:tabs>
          <w:tab w:val="num" w:pos="4320"/>
        </w:tabs>
        <w:ind w:left="4320" w:hanging="360"/>
      </w:pPr>
      <w:rPr>
        <w:rFonts w:ascii="Symbol" w:hAnsi="Symbol" w:hint="default"/>
      </w:rPr>
    </w:lvl>
    <w:lvl w:ilvl="6" w:tplc="9BE40CF2" w:tentative="1">
      <w:start w:val="1"/>
      <w:numFmt w:val="bullet"/>
      <w:lvlText w:val=""/>
      <w:lvlJc w:val="left"/>
      <w:pPr>
        <w:tabs>
          <w:tab w:val="num" w:pos="5040"/>
        </w:tabs>
        <w:ind w:left="5040" w:hanging="360"/>
      </w:pPr>
      <w:rPr>
        <w:rFonts w:ascii="Symbol" w:hAnsi="Symbol" w:hint="default"/>
      </w:rPr>
    </w:lvl>
    <w:lvl w:ilvl="7" w:tplc="10D8AE8A" w:tentative="1">
      <w:start w:val="1"/>
      <w:numFmt w:val="bullet"/>
      <w:lvlText w:val=""/>
      <w:lvlJc w:val="left"/>
      <w:pPr>
        <w:tabs>
          <w:tab w:val="num" w:pos="5760"/>
        </w:tabs>
        <w:ind w:left="5760" w:hanging="360"/>
      </w:pPr>
      <w:rPr>
        <w:rFonts w:ascii="Symbol" w:hAnsi="Symbol" w:hint="default"/>
      </w:rPr>
    </w:lvl>
    <w:lvl w:ilvl="8" w:tplc="50401AA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40B39AF"/>
    <w:multiLevelType w:val="hybridMultilevel"/>
    <w:tmpl w:val="523C479C"/>
    <w:lvl w:ilvl="0" w:tplc="ACFCB17E">
      <w:start w:val="1"/>
      <w:numFmt w:val="bullet"/>
      <w:lvlText w:val=""/>
      <w:lvlJc w:val="left"/>
      <w:pPr>
        <w:tabs>
          <w:tab w:val="num" w:pos="720"/>
        </w:tabs>
        <w:ind w:left="720" w:hanging="360"/>
      </w:pPr>
      <w:rPr>
        <w:rFonts w:ascii="Symbol" w:hAnsi="Symbol" w:hint="default"/>
      </w:rPr>
    </w:lvl>
    <w:lvl w:ilvl="1" w:tplc="A6D26646">
      <w:start w:val="1"/>
      <w:numFmt w:val="bullet"/>
      <w:lvlText w:val=""/>
      <w:lvlJc w:val="left"/>
      <w:pPr>
        <w:tabs>
          <w:tab w:val="num" w:pos="1440"/>
        </w:tabs>
        <w:ind w:left="1440" w:hanging="360"/>
      </w:pPr>
      <w:rPr>
        <w:rFonts w:ascii="Symbol" w:hAnsi="Symbol" w:hint="default"/>
      </w:rPr>
    </w:lvl>
    <w:lvl w:ilvl="2" w:tplc="EFE6E2DC">
      <w:numFmt w:val="bullet"/>
      <w:lvlText w:val=""/>
      <w:lvlJc w:val="left"/>
      <w:pPr>
        <w:tabs>
          <w:tab w:val="num" w:pos="2160"/>
        </w:tabs>
        <w:ind w:left="2160" w:hanging="360"/>
      </w:pPr>
      <w:rPr>
        <w:rFonts w:ascii="Symbol" w:hAnsi="Symbol" w:hint="default"/>
      </w:rPr>
    </w:lvl>
    <w:lvl w:ilvl="3" w:tplc="D7963E72" w:tentative="1">
      <w:start w:val="1"/>
      <w:numFmt w:val="bullet"/>
      <w:lvlText w:val=""/>
      <w:lvlJc w:val="left"/>
      <w:pPr>
        <w:tabs>
          <w:tab w:val="num" w:pos="2880"/>
        </w:tabs>
        <w:ind w:left="2880" w:hanging="360"/>
      </w:pPr>
      <w:rPr>
        <w:rFonts w:ascii="Symbol" w:hAnsi="Symbol" w:hint="default"/>
      </w:rPr>
    </w:lvl>
    <w:lvl w:ilvl="4" w:tplc="28F0CB7C" w:tentative="1">
      <w:start w:val="1"/>
      <w:numFmt w:val="bullet"/>
      <w:lvlText w:val=""/>
      <w:lvlJc w:val="left"/>
      <w:pPr>
        <w:tabs>
          <w:tab w:val="num" w:pos="3600"/>
        </w:tabs>
        <w:ind w:left="3600" w:hanging="360"/>
      </w:pPr>
      <w:rPr>
        <w:rFonts w:ascii="Symbol" w:hAnsi="Symbol" w:hint="default"/>
      </w:rPr>
    </w:lvl>
    <w:lvl w:ilvl="5" w:tplc="E83027F4" w:tentative="1">
      <w:start w:val="1"/>
      <w:numFmt w:val="bullet"/>
      <w:lvlText w:val=""/>
      <w:lvlJc w:val="left"/>
      <w:pPr>
        <w:tabs>
          <w:tab w:val="num" w:pos="4320"/>
        </w:tabs>
        <w:ind w:left="4320" w:hanging="360"/>
      </w:pPr>
      <w:rPr>
        <w:rFonts w:ascii="Symbol" w:hAnsi="Symbol" w:hint="default"/>
      </w:rPr>
    </w:lvl>
    <w:lvl w:ilvl="6" w:tplc="32D45F42" w:tentative="1">
      <w:start w:val="1"/>
      <w:numFmt w:val="bullet"/>
      <w:lvlText w:val=""/>
      <w:lvlJc w:val="left"/>
      <w:pPr>
        <w:tabs>
          <w:tab w:val="num" w:pos="5040"/>
        </w:tabs>
        <w:ind w:left="5040" w:hanging="360"/>
      </w:pPr>
      <w:rPr>
        <w:rFonts w:ascii="Symbol" w:hAnsi="Symbol" w:hint="default"/>
      </w:rPr>
    </w:lvl>
    <w:lvl w:ilvl="7" w:tplc="C6589D20" w:tentative="1">
      <w:start w:val="1"/>
      <w:numFmt w:val="bullet"/>
      <w:lvlText w:val=""/>
      <w:lvlJc w:val="left"/>
      <w:pPr>
        <w:tabs>
          <w:tab w:val="num" w:pos="5760"/>
        </w:tabs>
        <w:ind w:left="5760" w:hanging="360"/>
      </w:pPr>
      <w:rPr>
        <w:rFonts w:ascii="Symbol" w:hAnsi="Symbol" w:hint="default"/>
      </w:rPr>
    </w:lvl>
    <w:lvl w:ilvl="8" w:tplc="7EBA2FC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9406E1"/>
    <w:multiLevelType w:val="hybridMultilevel"/>
    <w:tmpl w:val="1FB6CF7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26"/>
  </w:num>
  <w:num w:numId="4">
    <w:abstractNumId w:val="39"/>
  </w:num>
  <w:num w:numId="5">
    <w:abstractNumId w:val="38"/>
  </w:num>
  <w:num w:numId="6">
    <w:abstractNumId w:val="19"/>
  </w:num>
  <w:num w:numId="7">
    <w:abstractNumId w:val="29"/>
  </w:num>
  <w:num w:numId="8">
    <w:abstractNumId w:val="45"/>
  </w:num>
  <w:num w:numId="9">
    <w:abstractNumId w:val="16"/>
  </w:num>
  <w:num w:numId="10">
    <w:abstractNumId w:val="37"/>
  </w:num>
  <w:num w:numId="11">
    <w:abstractNumId w:val="36"/>
  </w:num>
  <w:num w:numId="12">
    <w:abstractNumId w:val="5"/>
  </w:num>
  <w:num w:numId="13">
    <w:abstractNumId w:val="25"/>
  </w:num>
  <w:num w:numId="14">
    <w:abstractNumId w:val="41"/>
  </w:num>
  <w:num w:numId="15">
    <w:abstractNumId w:val="43"/>
  </w:num>
  <w:num w:numId="16">
    <w:abstractNumId w:val="40"/>
  </w:num>
  <w:num w:numId="17">
    <w:abstractNumId w:val="1"/>
  </w:num>
  <w:num w:numId="18">
    <w:abstractNumId w:val="18"/>
  </w:num>
  <w:num w:numId="19">
    <w:abstractNumId w:val="12"/>
  </w:num>
  <w:num w:numId="20">
    <w:abstractNumId w:val="22"/>
  </w:num>
  <w:num w:numId="21">
    <w:abstractNumId w:val="13"/>
  </w:num>
  <w:num w:numId="22">
    <w:abstractNumId w:val="28"/>
  </w:num>
  <w:num w:numId="23">
    <w:abstractNumId w:val="30"/>
  </w:num>
  <w:num w:numId="24">
    <w:abstractNumId w:val="14"/>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1"/>
  </w:num>
  <w:num w:numId="27">
    <w:abstractNumId w:val="23"/>
  </w:num>
  <w:num w:numId="28">
    <w:abstractNumId w:val="6"/>
  </w:num>
  <w:num w:numId="29">
    <w:abstractNumId w:val="34"/>
  </w:num>
  <w:num w:numId="30">
    <w:abstractNumId w:val="8"/>
  </w:num>
  <w:num w:numId="31">
    <w:abstractNumId w:val="7"/>
  </w:num>
  <w:num w:numId="32">
    <w:abstractNumId w:val="20"/>
  </w:num>
  <w:num w:numId="33">
    <w:abstractNumId w:val="33"/>
  </w:num>
  <w:num w:numId="34">
    <w:abstractNumId w:val="15"/>
  </w:num>
  <w:num w:numId="35">
    <w:abstractNumId w:val="35"/>
  </w:num>
  <w:num w:numId="36">
    <w:abstractNumId w:val="32"/>
  </w:num>
  <w:num w:numId="37">
    <w:abstractNumId w:val="17"/>
  </w:num>
  <w:num w:numId="38">
    <w:abstractNumId w:val="2"/>
  </w:num>
  <w:num w:numId="39">
    <w:abstractNumId w:val="44"/>
  </w:num>
  <w:num w:numId="40">
    <w:abstractNumId w:val="27"/>
  </w:num>
  <w:num w:numId="41">
    <w:abstractNumId w:val="4"/>
  </w:num>
  <w:num w:numId="42">
    <w:abstractNumId w:val="11"/>
  </w:num>
  <w:num w:numId="43">
    <w:abstractNumId w:val="3"/>
  </w:num>
  <w:num w:numId="44">
    <w:abstractNumId w:val="10"/>
  </w:num>
  <w:num w:numId="45">
    <w:abstractNumId w:val="31"/>
  </w:num>
  <w:num w:numId="46">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2352"/>
    <w:rsid w:val="00013738"/>
    <w:rsid w:val="00013BA0"/>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07"/>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079"/>
    <w:rsid w:val="000723F1"/>
    <w:rsid w:val="00072975"/>
    <w:rsid w:val="000729A8"/>
    <w:rsid w:val="00072FAF"/>
    <w:rsid w:val="00073541"/>
    <w:rsid w:val="00073D2A"/>
    <w:rsid w:val="00073D3B"/>
    <w:rsid w:val="0007587C"/>
    <w:rsid w:val="000761DE"/>
    <w:rsid w:val="00076EC6"/>
    <w:rsid w:val="00077062"/>
    <w:rsid w:val="00077F33"/>
    <w:rsid w:val="00077F71"/>
    <w:rsid w:val="00080249"/>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5C"/>
    <w:rsid w:val="0008727B"/>
    <w:rsid w:val="0008742B"/>
    <w:rsid w:val="00087D25"/>
    <w:rsid w:val="0009044A"/>
    <w:rsid w:val="00090604"/>
    <w:rsid w:val="000906DD"/>
    <w:rsid w:val="00090C45"/>
    <w:rsid w:val="0009137A"/>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3D2E"/>
    <w:rsid w:val="000C4338"/>
    <w:rsid w:val="000C440D"/>
    <w:rsid w:val="000C458A"/>
    <w:rsid w:val="000C4AC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9DC"/>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62F"/>
    <w:rsid w:val="000F1845"/>
    <w:rsid w:val="000F1938"/>
    <w:rsid w:val="000F1A6C"/>
    <w:rsid w:val="000F271E"/>
    <w:rsid w:val="000F283B"/>
    <w:rsid w:val="000F2BF3"/>
    <w:rsid w:val="000F328C"/>
    <w:rsid w:val="000F3776"/>
    <w:rsid w:val="000F42D3"/>
    <w:rsid w:val="000F4489"/>
    <w:rsid w:val="000F4599"/>
    <w:rsid w:val="000F4C38"/>
    <w:rsid w:val="000F4C3C"/>
    <w:rsid w:val="000F50AE"/>
    <w:rsid w:val="000F5488"/>
    <w:rsid w:val="000F5530"/>
    <w:rsid w:val="000F5B26"/>
    <w:rsid w:val="000F68F1"/>
    <w:rsid w:val="000F690C"/>
    <w:rsid w:val="000F6A99"/>
    <w:rsid w:val="000F6FA5"/>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513"/>
    <w:rsid w:val="00104A73"/>
    <w:rsid w:val="001051FC"/>
    <w:rsid w:val="0010552D"/>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1E"/>
    <w:rsid w:val="00125FC0"/>
    <w:rsid w:val="0012618D"/>
    <w:rsid w:val="001267F8"/>
    <w:rsid w:val="00126870"/>
    <w:rsid w:val="0012691D"/>
    <w:rsid w:val="00126A3F"/>
    <w:rsid w:val="00127845"/>
    <w:rsid w:val="00127CB0"/>
    <w:rsid w:val="0013009A"/>
    <w:rsid w:val="001300F3"/>
    <w:rsid w:val="00130DD2"/>
    <w:rsid w:val="001317D0"/>
    <w:rsid w:val="00131F11"/>
    <w:rsid w:val="0013293B"/>
    <w:rsid w:val="001329BF"/>
    <w:rsid w:val="00132B1C"/>
    <w:rsid w:val="00132D1F"/>
    <w:rsid w:val="00133683"/>
    <w:rsid w:val="0013369A"/>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5E8"/>
    <w:rsid w:val="00150831"/>
    <w:rsid w:val="00151161"/>
    <w:rsid w:val="00151719"/>
    <w:rsid w:val="001517E3"/>
    <w:rsid w:val="0015196F"/>
    <w:rsid w:val="00151DCD"/>
    <w:rsid w:val="00152971"/>
    <w:rsid w:val="00152BC7"/>
    <w:rsid w:val="00152FE6"/>
    <w:rsid w:val="001540AA"/>
    <w:rsid w:val="00154183"/>
    <w:rsid w:val="00154778"/>
    <w:rsid w:val="00154797"/>
    <w:rsid w:val="001549F1"/>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2D3"/>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622"/>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116"/>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E55"/>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67D81"/>
    <w:rsid w:val="00270491"/>
    <w:rsid w:val="002706AE"/>
    <w:rsid w:val="002706D2"/>
    <w:rsid w:val="002707BC"/>
    <w:rsid w:val="002713DC"/>
    <w:rsid w:val="00271981"/>
    <w:rsid w:val="00271CA1"/>
    <w:rsid w:val="00272254"/>
    <w:rsid w:val="002737C0"/>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2BC"/>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66"/>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039"/>
    <w:rsid w:val="002C3755"/>
    <w:rsid w:val="002C3D43"/>
    <w:rsid w:val="002C43AB"/>
    <w:rsid w:val="002C443E"/>
    <w:rsid w:val="002C497E"/>
    <w:rsid w:val="002C4E05"/>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1DB1"/>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9E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4E77"/>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D55"/>
    <w:rsid w:val="00313E2C"/>
    <w:rsid w:val="00313F42"/>
    <w:rsid w:val="0031465B"/>
    <w:rsid w:val="00314726"/>
    <w:rsid w:val="00314B77"/>
    <w:rsid w:val="00315191"/>
    <w:rsid w:val="00315554"/>
    <w:rsid w:val="003157EA"/>
    <w:rsid w:val="00315821"/>
    <w:rsid w:val="003164E5"/>
    <w:rsid w:val="00316E2C"/>
    <w:rsid w:val="00317381"/>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3D0B"/>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A6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0F0"/>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66A"/>
    <w:rsid w:val="003546DD"/>
    <w:rsid w:val="00354C7F"/>
    <w:rsid w:val="00354FF1"/>
    <w:rsid w:val="00355045"/>
    <w:rsid w:val="0035574C"/>
    <w:rsid w:val="00355F1A"/>
    <w:rsid w:val="003560D5"/>
    <w:rsid w:val="0035625A"/>
    <w:rsid w:val="003566FF"/>
    <w:rsid w:val="00356AE9"/>
    <w:rsid w:val="00356C80"/>
    <w:rsid w:val="00356E94"/>
    <w:rsid w:val="003577B0"/>
    <w:rsid w:val="003579B0"/>
    <w:rsid w:val="00357A64"/>
    <w:rsid w:val="00357B4E"/>
    <w:rsid w:val="00357E54"/>
    <w:rsid w:val="0036042D"/>
    <w:rsid w:val="0036082C"/>
    <w:rsid w:val="00360CF3"/>
    <w:rsid w:val="003610D3"/>
    <w:rsid w:val="00362047"/>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7B9"/>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593"/>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C4A"/>
    <w:rsid w:val="003A6E3D"/>
    <w:rsid w:val="003A76F1"/>
    <w:rsid w:val="003A7929"/>
    <w:rsid w:val="003A7986"/>
    <w:rsid w:val="003A7BFB"/>
    <w:rsid w:val="003A7E9E"/>
    <w:rsid w:val="003B03D6"/>
    <w:rsid w:val="003B0557"/>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6D77"/>
    <w:rsid w:val="003B7022"/>
    <w:rsid w:val="003B7116"/>
    <w:rsid w:val="003B74A4"/>
    <w:rsid w:val="003B7B6A"/>
    <w:rsid w:val="003B7C1F"/>
    <w:rsid w:val="003B7D4B"/>
    <w:rsid w:val="003B7D82"/>
    <w:rsid w:val="003C09B7"/>
    <w:rsid w:val="003C0DDE"/>
    <w:rsid w:val="003C0EC4"/>
    <w:rsid w:val="003C0F07"/>
    <w:rsid w:val="003C1161"/>
    <w:rsid w:val="003C1802"/>
    <w:rsid w:val="003C1B28"/>
    <w:rsid w:val="003C208B"/>
    <w:rsid w:val="003C20BA"/>
    <w:rsid w:val="003C2545"/>
    <w:rsid w:val="003C32B5"/>
    <w:rsid w:val="003C3362"/>
    <w:rsid w:val="003C381B"/>
    <w:rsid w:val="003C3A38"/>
    <w:rsid w:val="003C51BD"/>
    <w:rsid w:val="003C5C76"/>
    <w:rsid w:val="003C5FCB"/>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710"/>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0B2"/>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0915"/>
    <w:rsid w:val="0048108F"/>
    <w:rsid w:val="004819D9"/>
    <w:rsid w:val="00482470"/>
    <w:rsid w:val="00482DD9"/>
    <w:rsid w:val="004835A3"/>
    <w:rsid w:val="004837D1"/>
    <w:rsid w:val="00483943"/>
    <w:rsid w:val="0048471D"/>
    <w:rsid w:val="00485781"/>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910"/>
    <w:rsid w:val="00495A00"/>
    <w:rsid w:val="00495E61"/>
    <w:rsid w:val="00495EAF"/>
    <w:rsid w:val="0049621E"/>
    <w:rsid w:val="004962C0"/>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2F92"/>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0CB"/>
    <w:rsid w:val="004D29AF"/>
    <w:rsid w:val="004D2A56"/>
    <w:rsid w:val="004D2B0B"/>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401E"/>
    <w:rsid w:val="004E46A3"/>
    <w:rsid w:val="004E4F4A"/>
    <w:rsid w:val="004E53E6"/>
    <w:rsid w:val="004E5418"/>
    <w:rsid w:val="004E5CFE"/>
    <w:rsid w:val="004E61B6"/>
    <w:rsid w:val="004E6B02"/>
    <w:rsid w:val="004E6E18"/>
    <w:rsid w:val="004E7652"/>
    <w:rsid w:val="004E76F5"/>
    <w:rsid w:val="004F04BB"/>
    <w:rsid w:val="004F16E2"/>
    <w:rsid w:val="004F1EEE"/>
    <w:rsid w:val="004F21EE"/>
    <w:rsid w:val="004F3C38"/>
    <w:rsid w:val="004F4010"/>
    <w:rsid w:val="004F4761"/>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0FA"/>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023"/>
    <w:rsid w:val="0052012C"/>
    <w:rsid w:val="00520156"/>
    <w:rsid w:val="00520CC3"/>
    <w:rsid w:val="00520E8C"/>
    <w:rsid w:val="00520F0F"/>
    <w:rsid w:val="00521117"/>
    <w:rsid w:val="005211C4"/>
    <w:rsid w:val="00521F31"/>
    <w:rsid w:val="00521F50"/>
    <w:rsid w:val="00522156"/>
    <w:rsid w:val="0052250B"/>
    <w:rsid w:val="00522599"/>
    <w:rsid w:val="00522C81"/>
    <w:rsid w:val="005235DC"/>
    <w:rsid w:val="00523831"/>
    <w:rsid w:val="005238A9"/>
    <w:rsid w:val="00523AE9"/>
    <w:rsid w:val="00523B71"/>
    <w:rsid w:val="005241F5"/>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B93"/>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57DA6"/>
    <w:rsid w:val="00560535"/>
    <w:rsid w:val="005609A6"/>
    <w:rsid w:val="00560B9E"/>
    <w:rsid w:val="00560F80"/>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77E5B"/>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5213"/>
    <w:rsid w:val="0058532E"/>
    <w:rsid w:val="00585A04"/>
    <w:rsid w:val="0058614C"/>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17B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97881"/>
    <w:rsid w:val="005A09B5"/>
    <w:rsid w:val="005A0D29"/>
    <w:rsid w:val="005A0EB5"/>
    <w:rsid w:val="005A164B"/>
    <w:rsid w:val="005A18EE"/>
    <w:rsid w:val="005A1B4F"/>
    <w:rsid w:val="005A2454"/>
    <w:rsid w:val="005A2A9B"/>
    <w:rsid w:val="005A3CCD"/>
    <w:rsid w:val="005A3F47"/>
    <w:rsid w:val="005A41E4"/>
    <w:rsid w:val="005A48F1"/>
    <w:rsid w:val="005A5328"/>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C68"/>
    <w:rsid w:val="005C0FCA"/>
    <w:rsid w:val="005C107E"/>
    <w:rsid w:val="005C1C75"/>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0E6B"/>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C09"/>
    <w:rsid w:val="005E1C81"/>
    <w:rsid w:val="005E1D8E"/>
    <w:rsid w:val="005E1F6F"/>
    <w:rsid w:val="005E2050"/>
    <w:rsid w:val="005E256F"/>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464"/>
    <w:rsid w:val="00620734"/>
    <w:rsid w:val="00620799"/>
    <w:rsid w:val="0062093A"/>
    <w:rsid w:val="00620E71"/>
    <w:rsid w:val="00621A09"/>
    <w:rsid w:val="00621ACC"/>
    <w:rsid w:val="00621B40"/>
    <w:rsid w:val="00621C92"/>
    <w:rsid w:val="006226D0"/>
    <w:rsid w:val="00622A14"/>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2A0D"/>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7D"/>
    <w:rsid w:val="006A15DE"/>
    <w:rsid w:val="006A1717"/>
    <w:rsid w:val="006A1830"/>
    <w:rsid w:val="006A1DEC"/>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43F"/>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186"/>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0FFB"/>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8A"/>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4F15"/>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6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317"/>
    <w:rsid w:val="00805355"/>
    <w:rsid w:val="00805A48"/>
    <w:rsid w:val="00805B99"/>
    <w:rsid w:val="00805C26"/>
    <w:rsid w:val="00805DB7"/>
    <w:rsid w:val="00806046"/>
    <w:rsid w:val="0080621C"/>
    <w:rsid w:val="00806376"/>
    <w:rsid w:val="00806CF7"/>
    <w:rsid w:val="00807E62"/>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563E"/>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5A9"/>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4E1F"/>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1F39"/>
    <w:rsid w:val="008D203B"/>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325"/>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BB"/>
    <w:rsid w:val="00910330"/>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190"/>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67"/>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172"/>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907"/>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28B"/>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2FF5"/>
    <w:rsid w:val="00A132D9"/>
    <w:rsid w:val="00A133C5"/>
    <w:rsid w:val="00A13434"/>
    <w:rsid w:val="00A13483"/>
    <w:rsid w:val="00A14781"/>
    <w:rsid w:val="00A15412"/>
    <w:rsid w:val="00A1597C"/>
    <w:rsid w:val="00A15C99"/>
    <w:rsid w:val="00A163AA"/>
    <w:rsid w:val="00A163B8"/>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D4A"/>
    <w:rsid w:val="00A55F2C"/>
    <w:rsid w:val="00A563AB"/>
    <w:rsid w:val="00A56490"/>
    <w:rsid w:val="00A56BD3"/>
    <w:rsid w:val="00A56F9F"/>
    <w:rsid w:val="00A5700E"/>
    <w:rsid w:val="00A57C5E"/>
    <w:rsid w:val="00A57DB2"/>
    <w:rsid w:val="00A603D6"/>
    <w:rsid w:val="00A6185C"/>
    <w:rsid w:val="00A61BB7"/>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CD7"/>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BC8"/>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46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9C6"/>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4515"/>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8BE"/>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D02"/>
    <w:rsid w:val="00B56015"/>
    <w:rsid w:val="00B564DA"/>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BB5"/>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39F"/>
    <w:rsid w:val="00B834C3"/>
    <w:rsid w:val="00B83694"/>
    <w:rsid w:val="00B83D94"/>
    <w:rsid w:val="00B83EAB"/>
    <w:rsid w:val="00B83FF6"/>
    <w:rsid w:val="00B84179"/>
    <w:rsid w:val="00B84388"/>
    <w:rsid w:val="00B845D3"/>
    <w:rsid w:val="00B845E6"/>
    <w:rsid w:val="00B85724"/>
    <w:rsid w:val="00B85D98"/>
    <w:rsid w:val="00B85F31"/>
    <w:rsid w:val="00B86589"/>
    <w:rsid w:val="00B86CC0"/>
    <w:rsid w:val="00B86F27"/>
    <w:rsid w:val="00B87379"/>
    <w:rsid w:val="00B87F4C"/>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6D47"/>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0"/>
    <w:rsid w:val="00BD7070"/>
    <w:rsid w:val="00BD7301"/>
    <w:rsid w:val="00BD7480"/>
    <w:rsid w:val="00BD7495"/>
    <w:rsid w:val="00BD771E"/>
    <w:rsid w:val="00BD7A85"/>
    <w:rsid w:val="00BE04C7"/>
    <w:rsid w:val="00BE0779"/>
    <w:rsid w:val="00BE0820"/>
    <w:rsid w:val="00BE1A4B"/>
    <w:rsid w:val="00BE1AFD"/>
    <w:rsid w:val="00BE1E9F"/>
    <w:rsid w:val="00BE20EF"/>
    <w:rsid w:val="00BE26C7"/>
    <w:rsid w:val="00BE277C"/>
    <w:rsid w:val="00BE2A32"/>
    <w:rsid w:val="00BE3778"/>
    <w:rsid w:val="00BE37A5"/>
    <w:rsid w:val="00BE38EA"/>
    <w:rsid w:val="00BE476F"/>
    <w:rsid w:val="00BE4771"/>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18"/>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5BE6"/>
    <w:rsid w:val="00C17643"/>
    <w:rsid w:val="00C176F3"/>
    <w:rsid w:val="00C179A3"/>
    <w:rsid w:val="00C17B7F"/>
    <w:rsid w:val="00C17D3A"/>
    <w:rsid w:val="00C17E97"/>
    <w:rsid w:val="00C204A9"/>
    <w:rsid w:val="00C2080B"/>
    <w:rsid w:val="00C20901"/>
    <w:rsid w:val="00C209C0"/>
    <w:rsid w:val="00C2151F"/>
    <w:rsid w:val="00C23C26"/>
    <w:rsid w:val="00C23D9A"/>
    <w:rsid w:val="00C23F5B"/>
    <w:rsid w:val="00C246A0"/>
    <w:rsid w:val="00C24C80"/>
    <w:rsid w:val="00C2558C"/>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CC7"/>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5DFC"/>
    <w:rsid w:val="00C663DA"/>
    <w:rsid w:val="00C66E0C"/>
    <w:rsid w:val="00C67D98"/>
    <w:rsid w:val="00C70619"/>
    <w:rsid w:val="00C70A3D"/>
    <w:rsid w:val="00C70FAD"/>
    <w:rsid w:val="00C7131E"/>
    <w:rsid w:val="00C71626"/>
    <w:rsid w:val="00C725F2"/>
    <w:rsid w:val="00C72986"/>
    <w:rsid w:val="00C735B9"/>
    <w:rsid w:val="00C739CA"/>
    <w:rsid w:val="00C746E0"/>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76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AD6"/>
    <w:rsid w:val="00C87CE7"/>
    <w:rsid w:val="00C87DFD"/>
    <w:rsid w:val="00C907AA"/>
    <w:rsid w:val="00C90AFE"/>
    <w:rsid w:val="00C90AFF"/>
    <w:rsid w:val="00C90BE8"/>
    <w:rsid w:val="00C91016"/>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9CC"/>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0FF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01B"/>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643"/>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684"/>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46C"/>
    <w:rsid w:val="00D61673"/>
    <w:rsid w:val="00D617EB"/>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59"/>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6A84"/>
    <w:rsid w:val="00DA714F"/>
    <w:rsid w:val="00DA79DA"/>
    <w:rsid w:val="00DA7BDA"/>
    <w:rsid w:val="00DB03CE"/>
    <w:rsid w:val="00DB05B8"/>
    <w:rsid w:val="00DB0F09"/>
    <w:rsid w:val="00DB0FBB"/>
    <w:rsid w:val="00DB1120"/>
    <w:rsid w:val="00DB1352"/>
    <w:rsid w:val="00DB1617"/>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39C"/>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6BF"/>
    <w:rsid w:val="00DE2DD3"/>
    <w:rsid w:val="00DE2F8F"/>
    <w:rsid w:val="00DE3025"/>
    <w:rsid w:val="00DE3549"/>
    <w:rsid w:val="00DE39B6"/>
    <w:rsid w:val="00DE3F1E"/>
    <w:rsid w:val="00DE3FA4"/>
    <w:rsid w:val="00DE453A"/>
    <w:rsid w:val="00DE49CD"/>
    <w:rsid w:val="00DE4B21"/>
    <w:rsid w:val="00DE4CFF"/>
    <w:rsid w:val="00DE50E2"/>
    <w:rsid w:val="00DE581C"/>
    <w:rsid w:val="00DE68F2"/>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DD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485"/>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457"/>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8F5"/>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0B3B"/>
    <w:rsid w:val="00EE1136"/>
    <w:rsid w:val="00EE1697"/>
    <w:rsid w:val="00EE1770"/>
    <w:rsid w:val="00EE18C7"/>
    <w:rsid w:val="00EE2248"/>
    <w:rsid w:val="00EE22BB"/>
    <w:rsid w:val="00EE30F5"/>
    <w:rsid w:val="00EE3252"/>
    <w:rsid w:val="00EE3357"/>
    <w:rsid w:val="00EE343D"/>
    <w:rsid w:val="00EE3A90"/>
    <w:rsid w:val="00EE40F7"/>
    <w:rsid w:val="00EE41FF"/>
    <w:rsid w:val="00EE47AC"/>
    <w:rsid w:val="00EE49F2"/>
    <w:rsid w:val="00EE4D65"/>
    <w:rsid w:val="00EE53D7"/>
    <w:rsid w:val="00EE57BF"/>
    <w:rsid w:val="00EE6F9E"/>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1CA8"/>
    <w:rsid w:val="00F025D0"/>
    <w:rsid w:val="00F027FD"/>
    <w:rsid w:val="00F02F67"/>
    <w:rsid w:val="00F03450"/>
    <w:rsid w:val="00F03B76"/>
    <w:rsid w:val="00F03CAF"/>
    <w:rsid w:val="00F03D26"/>
    <w:rsid w:val="00F03D38"/>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80F"/>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9DB"/>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4AC"/>
    <w:rsid w:val="00F57A3D"/>
    <w:rsid w:val="00F60279"/>
    <w:rsid w:val="00F6132D"/>
    <w:rsid w:val="00F61522"/>
    <w:rsid w:val="00F61E78"/>
    <w:rsid w:val="00F61EC6"/>
    <w:rsid w:val="00F62579"/>
    <w:rsid w:val="00F62EA1"/>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4B6C"/>
    <w:rsid w:val="00F95271"/>
    <w:rsid w:val="00F95382"/>
    <w:rsid w:val="00F95CA4"/>
    <w:rsid w:val="00F962DF"/>
    <w:rsid w:val="00F963C9"/>
    <w:rsid w:val="00F9653D"/>
    <w:rsid w:val="00F9699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0F0"/>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52E"/>
    <w:rsid w:val="00FF0734"/>
    <w:rsid w:val="00FF0BCD"/>
    <w:rsid w:val="00FF0C84"/>
    <w:rsid w:val="00FF106E"/>
    <w:rsid w:val="00FF12D7"/>
    <w:rsid w:val="00FF150E"/>
    <w:rsid w:val="00FF15DA"/>
    <w:rsid w:val="00FF1843"/>
    <w:rsid w:val="00FF226E"/>
    <w:rsid w:val="00FF2303"/>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5:chartTrackingRefBased/>
  <w15:docId w15:val="{0E0C6B37-ACDF-4BDF-B9F4-D64D78DE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3D2E"/>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条目,cap Char Char Char Char Char Char Char,Caption Char1,Caption Char2,Caption Char Char Char,fig and tbl,fighead2,Table Caption"/>
    <w:basedOn w:val="a1"/>
    <w:next w:val="a1"/>
    <w:link w:val="Char0"/>
    <w:uiPriority w:val="99"/>
    <w:qFormat/>
    <w:pPr>
      <w:spacing w:before="120" w:after="120"/>
    </w:pPr>
    <w:rPr>
      <w:rFonts w:eastAsia="Times New Roman"/>
      <w:b/>
      <w:lang w:eastAsia="en-US"/>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条目 Char,cap Char Char Char Char Char Char Char Char,Caption Char1 Char1,Caption Char2 Char"/>
    <w:link w:val="ad"/>
    <w:uiPriority w:val="99"/>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列出段落1"/>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f6"/>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qFormat/>
    <w:rsid w:val="0033067D"/>
    <w:rPr>
      <w:rFonts w:eastAsia="宋体"/>
      <w:noProof/>
      <w:lang w:val="en-GB"/>
    </w:rPr>
  </w:style>
  <w:style w:type="character" w:styleId="aff7">
    <w:name w:val="Placeholder Text"/>
    <w:basedOn w:val="a2"/>
    <w:uiPriority w:val="99"/>
    <w:semiHidden/>
    <w:rsid w:val="00E72457"/>
    <w:rPr>
      <w:color w:val="808080"/>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C746E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88783144">
      <w:bodyDiv w:val="1"/>
      <w:marLeft w:val="0"/>
      <w:marRight w:val="0"/>
      <w:marTop w:val="0"/>
      <w:marBottom w:val="0"/>
      <w:divBdr>
        <w:top w:val="none" w:sz="0" w:space="0" w:color="auto"/>
        <w:left w:val="none" w:sz="0" w:space="0" w:color="auto"/>
        <w:bottom w:val="none" w:sz="0" w:space="0" w:color="auto"/>
        <w:right w:val="none" w:sz="0" w:space="0" w:color="auto"/>
      </w:divBdr>
      <w:divsChild>
        <w:div w:id="1697733909">
          <w:marLeft w:val="547"/>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445056">
      <w:bodyDiv w:val="1"/>
      <w:marLeft w:val="0"/>
      <w:marRight w:val="0"/>
      <w:marTop w:val="0"/>
      <w:marBottom w:val="0"/>
      <w:divBdr>
        <w:top w:val="none" w:sz="0" w:space="0" w:color="auto"/>
        <w:left w:val="none" w:sz="0" w:space="0" w:color="auto"/>
        <w:bottom w:val="none" w:sz="0" w:space="0" w:color="auto"/>
        <w:right w:val="none" w:sz="0" w:space="0" w:color="auto"/>
      </w:divBdr>
      <w:divsChild>
        <w:div w:id="4409897">
          <w:marLeft w:val="1987"/>
          <w:marRight w:val="0"/>
          <w:marTop w:val="0"/>
          <w:marBottom w:val="120"/>
          <w:divBdr>
            <w:top w:val="none" w:sz="0" w:space="0" w:color="auto"/>
            <w:left w:val="none" w:sz="0" w:space="0" w:color="auto"/>
            <w:bottom w:val="none" w:sz="0" w:space="0" w:color="auto"/>
            <w:right w:val="none" w:sz="0" w:space="0" w:color="auto"/>
          </w:divBdr>
        </w:div>
        <w:div w:id="484854399">
          <w:marLeft w:val="1267"/>
          <w:marRight w:val="0"/>
          <w:marTop w:val="0"/>
          <w:marBottom w:val="120"/>
          <w:divBdr>
            <w:top w:val="none" w:sz="0" w:space="0" w:color="auto"/>
            <w:left w:val="none" w:sz="0" w:space="0" w:color="auto"/>
            <w:bottom w:val="none" w:sz="0" w:space="0" w:color="auto"/>
            <w:right w:val="none" w:sz="0" w:space="0" w:color="auto"/>
          </w:divBdr>
        </w:div>
        <w:div w:id="1240481893">
          <w:marLeft w:val="1987"/>
          <w:marRight w:val="0"/>
          <w:marTop w:val="0"/>
          <w:marBottom w:val="12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3401302">
      <w:bodyDiv w:val="1"/>
      <w:marLeft w:val="0"/>
      <w:marRight w:val="0"/>
      <w:marTop w:val="0"/>
      <w:marBottom w:val="0"/>
      <w:divBdr>
        <w:top w:val="none" w:sz="0" w:space="0" w:color="auto"/>
        <w:left w:val="none" w:sz="0" w:space="0" w:color="auto"/>
        <w:bottom w:val="none" w:sz="0" w:space="0" w:color="auto"/>
        <w:right w:val="none" w:sz="0" w:space="0" w:color="auto"/>
      </w:divBdr>
    </w:div>
    <w:div w:id="556165082">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9010764">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31121525">
      <w:bodyDiv w:val="1"/>
      <w:marLeft w:val="0"/>
      <w:marRight w:val="0"/>
      <w:marTop w:val="0"/>
      <w:marBottom w:val="0"/>
      <w:divBdr>
        <w:top w:val="none" w:sz="0" w:space="0" w:color="auto"/>
        <w:left w:val="none" w:sz="0" w:space="0" w:color="auto"/>
        <w:bottom w:val="none" w:sz="0" w:space="0" w:color="auto"/>
        <w:right w:val="none" w:sz="0" w:space="0" w:color="auto"/>
      </w:divBdr>
    </w:div>
    <w:div w:id="748501072">
      <w:bodyDiv w:val="1"/>
      <w:marLeft w:val="0"/>
      <w:marRight w:val="0"/>
      <w:marTop w:val="0"/>
      <w:marBottom w:val="0"/>
      <w:divBdr>
        <w:top w:val="none" w:sz="0" w:space="0" w:color="auto"/>
        <w:left w:val="none" w:sz="0" w:space="0" w:color="auto"/>
        <w:bottom w:val="none" w:sz="0" w:space="0" w:color="auto"/>
        <w:right w:val="none" w:sz="0" w:space="0" w:color="auto"/>
      </w:divBdr>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972520833">
      <w:bodyDiv w:val="1"/>
      <w:marLeft w:val="0"/>
      <w:marRight w:val="0"/>
      <w:marTop w:val="0"/>
      <w:marBottom w:val="0"/>
      <w:divBdr>
        <w:top w:val="none" w:sz="0" w:space="0" w:color="auto"/>
        <w:left w:val="none" w:sz="0" w:space="0" w:color="auto"/>
        <w:bottom w:val="none" w:sz="0" w:space="0" w:color="auto"/>
        <w:right w:val="none" w:sz="0" w:space="0" w:color="auto"/>
      </w:divBdr>
      <w:divsChild>
        <w:div w:id="164134590">
          <w:marLeft w:val="1267"/>
          <w:marRight w:val="0"/>
          <w:marTop w:val="0"/>
          <w:marBottom w:val="120"/>
          <w:divBdr>
            <w:top w:val="none" w:sz="0" w:space="0" w:color="auto"/>
            <w:left w:val="none" w:sz="0" w:space="0" w:color="auto"/>
            <w:bottom w:val="none" w:sz="0" w:space="0" w:color="auto"/>
            <w:right w:val="none" w:sz="0" w:space="0" w:color="auto"/>
          </w:divBdr>
        </w:div>
        <w:div w:id="256183741">
          <w:marLeft w:val="1267"/>
          <w:marRight w:val="0"/>
          <w:marTop w:val="0"/>
          <w:marBottom w:val="120"/>
          <w:divBdr>
            <w:top w:val="none" w:sz="0" w:space="0" w:color="auto"/>
            <w:left w:val="none" w:sz="0" w:space="0" w:color="auto"/>
            <w:bottom w:val="none" w:sz="0" w:space="0" w:color="auto"/>
            <w:right w:val="none" w:sz="0" w:space="0" w:color="auto"/>
          </w:divBdr>
        </w:div>
        <w:div w:id="257326560">
          <w:marLeft w:val="547"/>
          <w:marRight w:val="0"/>
          <w:marTop w:val="0"/>
          <w:marBottom w:val="120"/>
          <w:divBdr>
            <w:top w:val="none" w:sz="0" w:space="0" w:color="auto"/>
            <w:left w:val="none" w:sz="0" w:space="0" w:color="auto"/>
            <w:bottom w:val="none" w:sz="0" w:space="0" w:color="auto"/>
            <w:right w:val="none" w:sz="0" w:space="0" w:color="auto"/>
          </w:divBdr>
        </w:div>
        <w:div w:id="1264339804">
          <w:marLeft w:val="1267"/>
          <w:marRight w:val="0"/>
          <w:marTop w:val="0"/>
          <w:marBottom w:val="120"/>
          <w:divBdr>
            <w:top w:val="none" w:sz="0" w:space="0" w:color="auto"/>
            <w:left w:val="none" w:sz="0" w:space="0" w:color="auto"/>
            <w:bottom w:val="none" w:sz="0" w:space="0" w:color="auto"/>
            <w:right w:val="none" w:sz="0" w:space="0" w:color="auto"/>
          </w:divBdr>
        </w:div>
        <w:div w:id="1413040557">
          <w:marLeft w:val="1267"/>
          <w:marRight w:val="0"/>
          <w:marTop w:val="0"/>
          <w:marBottom w:val="120"/>
          <w:divBdr>
            <w:top w:val="none" w:sz="0" w:space="0" w:color="auto"/>
            <w:left w:val="none" w:sz="0" w:space="0" w:color="auto"/>
            <w:bottom w:val="none" w:sz="0" w:space="0" w:color="auto"/>
            <w:right w:val="none" w:sz="0" w:space="0" w:color="auto"/>
          </w:divBdr>
        </w:div>
        <w:div w:id="1638759948">
          <w:marLeft w:val="1267"/>
          <w:marRight w:val="0"/>
          <w:marTop w:val="0"/>
          <w:marBottom w:val="120"/>
          <w:divBdr>
            <w:top w:val="none" w:sz="0" w:space="0" w:color="auto"/>
            <w:left w:val="none" w:sz="0" w:space="0" w:color="auto"/>
            <w:bottom w:val="none" w:sz="0" w:space="0" w:color="auto"/>
            <w:right w:val="none" w:sz="0" w:space="0" w:color="auto"/>
          </w:divBdr>
        </w:div>
        <w:div w:id="1783258811">
          <w:marLeft w:val="547"/>
          <w:marRight w:val="0"/>
          <w:marTop w:val="0"/>
          <w:marBottom w:val="120"/>
          <w:divBdr>
            <w:top w:val="none" w:sz="0" w:space="0" w:color="auto"/>
            <w:left w:val="none" w:sz="0" w:space="0" w:color="auto"/>
            <w:bottom w:val="none" w:sz="0" w:space="0" w:color="auto"/>
            <w:right w:val="none" w:sz="0" w:space="0" w:color="auto"/>
          </w:divBdr>
        </w:div>
      </w:divsChild>
    </w:div>
    <w:div w:id="1007825297">
      <w:bodyDiv w:val="1"/>
      <w:marLeft w:val="0"/>
      <w:marRight w:val="0"/>
      <w:marTop w:val="0"/>
      <w:marBottom w:val="0"/>
      <w:divBdr>
        <w:top w:val="none" w:sz="0" w:space="0" w:color="auto"/>
        <w:left w:val="none" w:sz="0" w:space="0" w:color="auto"/>
        <w:bottom w:val="none" w:sz="0" w:space="0" w:color="auto"/>
        <w:right w:val="none" w:sz="0" w:space="0" w:color="auto"/>
      </w:divBdr>
      <w:divsChild>
        <w:div w:id="901331967">
          <w:marLeft w:val="360"/>
          <w:marRight w:val="0"/>
          <w:marTop w:val="200"/>
          <w:marBottom w:val="0"/>
          <w:divBdr>
            <w:top w:val="none" w:sz="0" w:space="0" w:color="auto"/>
            <w:left w:val="none" w:sz="0" w:space="0" w:color="auto"/>
            <w:bottom w:val="none" w:sz="0" w:space="0" w:color="auto"/>
            <w:right w:val="none" w:sz="0" w:space="0" w:color="auto"/>
          </w:divBdr>
        </w:div>
      </w:divsChild>
    </w:div>
    <w:div w:id="1010566445">
      <w:bodyDiv w:val="1"/>
      <w:marLeft w:val="0"/>
      <w:marRight w:val="0"/>
      <w:marTop w:val="0"/>
      <w:marBottom w:val="0"/>
      <w:divBdr>
        <w:top w:val="none" w:sz="0" w:space="0" w:color="auto"/>
        <w:left w:val="none" w:sz="0" w:space="0" w:color="auto"/>
        <w:bottom w:val="none" w:sz="0" w:space="0" w:color="auto"/>
        <w:right w:val="none" w:sz="0" w:space="0" w:color="auto"/>
      </w:divBdr>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431530">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193886426">
      <w:bodyDiv w:val="1"/>
      <w:marLeft w:val="0"/>
      <w:marRight w:val="0"/>
      <w:marTop w:val="0"/>
      <w:marBottom w:val="0"/>
      <w:divBdr>
        <w:top w:val="none" w:sz="0" w:space="0" w:color="auto"/>
        <w:left w:val="none" w:sz="0" w:space="0" w:color="auto"/>
        <w:bottom w:val="none" w:sz="0" w:space="0" w:color="auto"/>
        <w:right w:val="none" w:sz="0" w:space="0" w:color="auto"/>
      </w:divBdr>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9960903">
      <w:bodyDiv w:val="1"/>
      <w:marLeft w:val="0"/>
      <w:marRight w:val="0"/>
      <w:marTop w:val="0"/>
      <w:marBottom w:val="0"/>
      <w:divBdr>
        <w:top w:val="none" w:sz="0" w:space="0" w:color="auto"/>
        <w:left w:val="none" w:sz="0" w:space="0" w:color="auto"/>
        <w:bottom w:val="none" w:sz="0" w:space="0" w:color="auto"/>
        <w:right w:val="none" w:sz="0" w:space="0" w:color="auto"/>
      </w:divBdr>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07262889">
      <w:bodyDiv w:val="1"/>
      <w:marLeft w:val="0"/>
      <w:marRight w:val="0"/>
      <w:marTop w:val="0"/>
      <w:marBottom w:val="0"/>
      <w:divBdr>
        <w:top w:val="none" w:sz="0" w:space="0" w:color="auto"/>
        <w:left w:val="none" w:sz="0" w:space="0" w:color="auto"/>
        <w:bottom w:val="none" w:sz="0" w:space="0" w:color="auto"/>
        <w:right w:val="none" w:sz="0" w:space="0" w:color="auto"/>
      </w:divBdr>
      <w:divsChild>
        <w:div w:id="36903068">
          <w:marLeft w:val="1080"/>
          <w:marRight w:val="0"/>
          <w:marTop w:val="0"/>
          <w:marBottom w:val="120"/>
          <w:divBdr>
            <w:top w:val="none" w:sz="0" w:space="0" w:color="auto"/>
            <w:left w:val="none" w:sz="0" w:space="0" w:color="auto"/>
            <w:bottom w:val="none" w:sz="0" w:space="0" w:color="auto"/>
            <w:right w:val="none" w:sz="0" w:space="0" w:color="auto"/>
          </w:divBdr>
        </w:div>
        <w:div w:id="56368989">
          <w:marLeft w:val="360"/>
          <w:marRight w:val="0"/>
          <w:marTop w:val="0"/>
          <w:marBottom w:val="120"/>
          <w:divBdr>
            <w:top w:val="none" w:sz="0" w:space="0" w:color="auto"/>
            <w:left w:val="none" w:sz="0" w:space="0" w:color="auto"/>
            <w:bottom w:val="none" w:sz="0" w:space="0" w:color="auto"/>
            <w:right w:val="none" w:sz="0" w:space="0" w:color="auto"/>
          </w:divBdr>
        </w:div>
        <w:div w:id="740518435">
          <w:marLeft w:val="1080"/>
          <w:marRight w:val="0"/>
          <w:marTop w:val="0"/>
          <w:marBottom w:val="120"/>
          <w:divBdr>
            <w:top w:val="none" w:sz="0" w:space="0" w:color="auto"/>
            <w:left w:val="none" w:sz="0" w:space="0" w:color="auto"/>
            <w:bottom w:val="none" w:sz="0" w:space="0" w:color="auto"/>
            <w:right w:val="none" w:sz="0" w:space="0" w:color="auto"/>
          </w:divBdr>
        </w:div>
        <w:div w:id="746651652">
          <w:marLeft w:val="547"/>
          <w:marRight w:val="0"/>
          <w:marTop w:val="0"/>
          <w:marBottom w:val="120"/>
          <w:divBdr>
            <w:top w:val="none" w:sz="0" w:space="0" w:color="auto"/>
            <w:left w:val="none" w:sz="0" w:space="0" w:color="auto"/>
            <w:bottom w:val="none" w:sz="0" w:space="0" w:color="auto"/>
            <w:right w:val="none" w:sz="0" w:space="0" w:color="auto"/>
          </w:divBdr>
        </w:div>
        <w:div w:id="1074350327">
          <w:marLeft w:val="547"/>
          <w:marRight w:val="0"/>
          <w:marTop w:val="0"/>
          <w:marBottom w:val="120"/>
          <w:divBdr>
            <w:top w:val="none" w:sz="0" w:space="0" w:color="auto"/>
            <w:left w:val="none" w:sz="0" w:space="0" w:color="auto"/>
            <w:bottom w:val="none" w:sz="0" w:space="0" w:color="auto"/>
            <w:right w:val="none" w:sz="0" w:space="0" w:color="auto"/>
          </w:divBdr>
        </w:div>
        <w:div w:id="1091124991">
          <w:marLeft w:val="547"/>
          <w:marRight w:val="0"/>
          <w:marTop w:val="0"/>
          <w:marBottom w:val="120"/>
          <w:divBdr>
            <w:top w:val="none" w:sz="0" w:space="0" w:color="auto"/>
            <w:left w:val="none" w:sz="0" w:space="0" w:color="auto"/>
            <w:bottom w:val="none" w:sz="0" w:space="0" w:color="auto"/>
            <w:right w:val="none" w:sz="0" w:space="0" w:color="auto"/>
          </w:divBdr>
        </w:div>
        <w:div w:id="1403793865">
          <w:marLeft w:val="1080"/>
          <w:marRight w:val="0"/>
          <w:marTop w:val="0"/>
          <w:marBottom w:val="120"/>
          <w:divBdr>
            <w:top w:val="none" w:sz="0" w:space="0" w:color="auto"/>
            <w:left w:val="none" w:sz="0" w:space="0" w:color="auto"/>
            <w:bottom w:val="none" w:sz="0" w:space="0" w:color="auto"/>
            <w:right w:val="none" w:sz="0" w:space="0" w:color="auto"/>
          </w:divBdr>
        </w:div>
        <w:div w:id="1725370734">
          <w:marLeft w:val="1080"/>
          <w:marRight w:val="0"/>
          <w:marTop w:val="0"/>
          <w:marBottom w:val="120"/>
          <w:divBdr>
            <w:top w:val="none" w:sz="0" w:space="0" w:color="auto"/>
            <w:left w:val="none" w:sz="0" w:space="0" w:color="auto"/>
            <w:bottom w:val="none" w:sz="0" w:space="0" w:color="auto"/>
            <w:right w:val="none" w:sz="0" w:space="0" w:color="auto"/>
          </w:divBdr>
        </w:div>
        <w:div w:id="1796410844">
          <w:marLeft w:val="360"/>
          <w:marRight w:val="0"/>
          <w:marTop w:val="0"/>
          <w:marBottom w:val="120"/>
          <w:divBdr>
            <w:top w:val="none" w:sz="0" w:space="0" w:color="auto"/>
            <w:left w:val="none" w:sz="0" w:space="0" w:color="auto"/>
            <w:bottom w:val="none" w:sz="0" w:space="0" w:color="auto"/>
            <w:right w:val="none" w:sz="0" w:space="0" w:color="auto"/>
          </w:divBdr>
        </w:div>
        <w:div w:id="1929315239">
          <w:marLeft w:val="547"/>
          <w:marRight w:val="0"/>
          <w:marTop w:val="0"/>
          <w:marBottom w:val="120"/>
          <w:divBdr>
            <w:top w:val="none" w:sz="0" w:space="0" w:color="auto"/>
            <w:left w:val="none" w:sz="0" w:space="0" w:color="auto"/>
            <w:bottom w:val="none" w:sz="0" w:space="0" w:color="auto"/>
            <w:right w:val="none" w:sz="0" w:space="0" w:color="auto"/>
          </w:divBdr>
        </w:div>
      </w:divsChild>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145119">
      <w:bodyDiv w:val="1"/>
      <w:marLeft w:val="0"/>
      <w:marRight w:val="0"/>
      <w:marTop w:val="0"/>
      <w:marBottom w:val="0"/>
      <w:divBdr>
        <w:top w:val="none" w:sz="0" w:space="0" w:color="auto"/>
        <w:left w:val="none" w:sz="0" w:space="0" w:color="auto"/>
        <w:bottom w:val="none" w:sz="0" w:space="0" w:color="auto"/>
        <w:right w:val="none" w:sz="0" w:space="0" w:color="auto"/>
      </w:divBdr>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9344919">
      <w:bodyDiv w:val="1"/>
      <w:marLeft w:val="0"/>
      <w:marRight w:val="0"/>
      <w:marTop w:val="0"/>
      <w:marBottom w:val="0"/>
      <w:divBdr>
        <w:top w:val="none" w:sz="0" w:space="0" w:color="auto"/>
        <w:left w:val="none" w:sz="0" w:space="0" w:color="auto"/>
        <w:bottom w:val="none" w:sz="0" w:space="0" w:color="auto"/>
        <w:right w:val="none" w:sz="0" w:space="0" w:color="auto"/>
      </w:divBdr>
    </w:div>
    <w:div w:id="1846675867">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56136116">
      <w:bodyDiv w:val="1"/>
      <w:marLeft w:val="0"/>
      <w:marRight w:val="0"/>
      <w:marTop w:val="0"/>
      <w:marBottom w:val="0"/>
      <w:divBdr>
        <w:top w:val="none" w:sz="0" w:space="0" w:color="auto"/>
        <w:left w:val="none" w:sz="0" w:space="0" w:color="auto"/>
        <w:bottom w:val="none" w:sz="0" w:space="0" w:color="auto"/>
        <w:right w:val="none" w:sz="0" w:space="0" w:color="auto"/>
      </w:divBdr>
      <w:divsChild>
        <w:div w:id="1439716002">
          <w:marLeft w:val="446"/>
          <w:marRight w:val="0"/>
          <w:marTop w:val="0"/>
          <w:marBottom w:val="0"/>
          <w:divBdr>
            <w:top w:val="none" w:sz="0" w:space="0" w:color="auto"/>
            <w:left w:val="none" w:sz="0" w:space="0" w:color="auto"/>
            <w:bottom w:val="none" w:sz="0" w:space="0" w:color="auto"/>
            <w:right w:val="none" w:sz="0" w:space="0" w:color="auto"/>
          </w:divBdr>
        </w:div>
        <w:div w:id="1565994607">
          <w:marLeft w:val="446"/>
          <w:marRight w:val="0"/>
          <w:marTop w:val="0"/>
          <w:marBottom w:val="0"/>
          <w:divBdr>
            <w:top w:val="none" w:sz="0" w:space="0" w:color="auto"/>
            <w:left w:val="none" w:sz="0" w:space="0" w:color="auto"/>
            <w:bottom w:val="none" w:sz="0" w:space="0" w:color="auto"/>
            <w:right w:val="none" w:sz="0" w:space="0" w:color="auto"/>
          </w:divBdr>
        </w:div>
        <w:div w:id="2077967250">
          <w:marLeft w:val="446"/>
          <w:marRight w:val="0"/>
          <w:marTop w:val="0"/>
          <w:marBottom w:val="0"/>
          <w:divBdr>
            <w:top w:val="none" w:sz="0" w:space="0" w:color="auto"/>
            <w:left w:val="none" w:sz="0" w:space="0" w:color="auto"/>
            <w:bottom w:val="none" w:sz="0" w:space="0" w:color="auto"/>
            <w:right w:val="none" w:sz="0" w:space="0" w:color="auto"/>
          </w:divBdr>
        </w:div>
      </w:divsChild>
    </w:div>
    <w:div w:id="19889775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64869969">
      <w:bodyDiv w:val="1"/>
      <w:marLeft w:val="0"/>
      <w:marRight w:val="0"/>
      <w:marTop w:val="0"/>
      <w:marBottom w:val="0"/>
      <w:divBdr>
        <w:top w:val="none" w:sz="0" w:space="0" w:color="auto"/>
        <w:left w:val="none" w:sz="0" w:space="0" w:color="auto"/>
        <w:bottom w:val="none" w:sz="0" w:space="0" w:color="auto"/>
        <w:right w:val="none" w:sz="0" w:space="0" w:color="auto"/>
      </w:divBdr>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6366A-7DE4-4781-AA18-6D5323FC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802</TotalTime>
  <Pages>6</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14769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84</cp:revision>
  <cp:lastPrinted>2010-01-07T02:23:00Z</cp:lastPrinted>
  <dcterms:created xsi:type="dcterms:W3CDTF">2021-06-21T12:05:00Z</dcterms:created>
  <dcterms:modified xsi:type="dcterms:W3CDTF">2021-08-06T19:28:00Z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(3)aukEeZZdcwGYnD+FyhXzBjgbsiBPB5JXyNSvkHCQ5+lW3LXtlSi13MbD6LBx7sFT+06psZZn
RT+YLk+7tTN8WgVrr+7YOJu52uVCYbBZ6om2Q9QzBvzQyzSEovjvVjjs6fZAHbcos+QpCVvV
B/dQVgoaTFY2Ks5OoJBiMCxTw3o3/PGTVXxlXsdYA00Pfbgi99JBt2RAorGB5fdmNokoR8gQ
Lndo+rlju/nnjmc7CL</vt:lpwstr>
  </property>
  <property fmtid="{D5CDD505-2E9C-101B-9397-08002B2CF9AE}" pid="15" name="_2015_ms_pID_725343_00">
    <vt:lpwstr>_2015_ms_pID_725343</vt:lpwstr>
  </property>
  <property fmtid="{D5CDD505-2E9C-101B-9397-08002B2CF9AE}" pid="16" name="_2015_ms_pID_7253431">
    <vt:lpwstr>1ewMirMocUIr1DgDV9+i5U3ZBg1iJQO5TpvmNaRRQcUDUAYg6u2IrJ
PuABKKdkEIx949zN7+7dvTZWAmwQpiWlna524Bi/+ZRRdfqcUzRP5EWaGbtSUko0M8UPBuF+
KCFYzYVmiQ90R8+p97ro9VdwYoUAzlA0YCkKE1wrRxHffUkzBoJf/aDCk++1Am5cxRqmQow6
gPnhptrqczh7VCRVm2hRBUVRxR0yeimxytN7</vt:lpwstr>
  </property>
  <property fmtid="{D5CDD505-2E9C-101B-9397-08002B2CF9AE}" pid="17" name="_2015_ms_pID_7253431_00">
    <vt:lpwstr>_2015_ms_pID_7253431</vt:lpwstr>
  </property>
  <property fmtid="{D5CDD505-2E9C-101B-9397-08002B2CF9AE}" pid="18" name="_2015_ms_pID_7253432">
    <vt:lpwstr>C0VCd6iVU5Y5VJ7W5Un9IG4=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1627616693</vt:lpwstr>
  </property>
</Properties>
</file>